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97F7" w14:textId="1CFF5744" w:rsidR="009479B6" w:rsidRPr="009479B6" w:rsidRDefault="009479B6" w:rsidP="009479B6">
      <w:pPr>
        <w:spacing w:before="100" w:beforeAutospacing="1" w:after="100" w:afterAutospacing="1" w:line="276" w:lineRule="auto"/>
        <w:outlineLvl w:val="1"/>
        <w:rPr>
          <w:rFonts w:ascii="Verdana" w:eastAsia="Times New Roman" w:hAnsi="Verdana" w:cs="Times New Roman"/>
          <w:b/>
          <w:bCs/>
          <w:color w:val="000000"/>
          <w:kern w:val="0"/>
          <w:sz w:val="28"/>
          <w:szCs w:val="28"/>
          <w:lang w:eastAsia="pl-PL"/>
          <w14:ligatures w14:val="none"/>
        </w:rPr>
      </w:pPr>
      <w:r w:rsidRPr="009479B6">
        <w:rPr>
          <w:rFonts w:ascii="Verdana" w:eastAsia="Times New Roman" w:hAnsi="Verdana" w:cs="Times New Roman"/>
          <w:b/>
          <w:bCs/>
          <w:color w:val="000000"/>
          <w:kern w:val="0"/>
          <w:sz w:val="28"/>
          <w:szCs w:val="28"/>
          <w:lang w:eastAsia="pl-PL"/>
          <w14:ligatures w14:val="none"/>
        </w:rPr>
        <w:t xml:space="preserve">Link do ankiety: </w:t>
      </w:r>
      <w:hyperlink r:id="rId5" w:history="1">
        <w:r w:rsidRPr="009479B6">
          <w:rPr>
            <w:rStyle w:val="Hipercze"/>
            <w:rFonts w:ascii="Verdana" w:eastAsia="Times New Roman" w:hAnsi="Verdana" w:cs="Times New Roman"/>
            <w:b/>
            <w:bCs/>
            <w:kern w:val="0"/>
            <w:sz w:val="28"/>
            <w:szCs w:val="28"/>
            <w:lang w:eastAsia="pl-PL"/>
            <w14:ligatures w14:val="none"/>
          </w:rPr>
          <w:t>https://strategia2026.kprm.gov.pl/?lang=pl</w:t>
        </w:r>
      </w:hyperlink>
      <w:r w:rsidRPr="009479B6">
        <w:rPr>
          <w:rFonts w:ascii="Verdana" w:eastAsia="Times New Roman" w:hAnsi="Verdana" w:cs="Times New Roman"/>
          <w:b/>
          <w:bCs/>
          <w:color w:val="000000"/>
          <w:kern w:val="0"/>
          <w:sz w:val="28"/>
          <w:szCs w:val="28"/>
          <w:lang w:eastAsia="pl-PL"/>
          <w14:ligatures w14:val="none"/>
        </w:rPr>
        <w:t xml:space="preserve"> </w:t>
      </w:r>
    </w:p>
    <w:p w14:paraId="4D506992" w14:textId="77777777" w:rsidR="009479B6" w:rsidRPr="009479B6" w:rsidRDefault="009479B6" w:rsidP="009479B6">
      <w:pPr>
        <w:spacing w:before="100" w:beforeAutospacing="1" w:after="100" w:afterAutospacing="1" w:line="276" w:lineRule="auto"/>
        <w:outlineLvl w:val="1"/>
        <w:rPr>
          <w:rFonts w:ascii="Verdana" w:hAnsi="Verdana"/>
          <w:b/>
          <w:bCs/>
          <w:color w:val="000000"/>
          <w:sz w:val="28"/>
          <w:szCs w:val="28"/>
        </w:rPr>
      </w:pPr>
      <w:r w:rsidRPr="009479B6">
        <w:rPr>
          <w:rFonts w:ascii="Verdana" w:eastAsia="Times New Roman" w:hAnsi="Verdana" w:cs="Times New Roman"/>
          <w:b/>
          <w:bCs/>
          <w:color w:val="000000"/>
          <w:kern w:val="0"/>
          <w:sz w:val="28"/>
          <w:szCs w:val="28"/>
          <w:highlight w:val="yellow"/>
          <w:lang w:eastAsia="pl-PL"/>
          <w14:ligatures w14:val="none"/>
        </w:rPr>
        <w:t xml:space="preserve">Nazwa wybieranego obszaru -&gt; </w:t>
      </w:r>
      <w:proofErr w:type="spellStart"/>
      <w:r w:rsidRPr="009479B6">
        <w:rPr>
          <w:rFonts w:ascii="Verdana" w:hAnsi="Verdana"/>
          <w:b/>
          <w:bCs/>
          <w:color w:val="000000"/>
          <w:sz w:val="28"/>
          <w:szCs w:val="28"/>
          <w:highlight w:val="yellow"/>
          <w:lang w:val="en-US"/>
        </w:rPr>
        <w:t>Wzmocnienie</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potencjału</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i</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stabilności</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finansowej</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organizacji</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pozarządowych</w:t>
      </w:r>
      <w:proofErr w:type="spellEnd"/>
      <w:r w:rsidRPr="009479B6">
        <w:rPr>
          <w:rFonts w:ascii="Verdana" w:hAnsi="Verdana"/>
          <w:b/>
          <w:bCs/>
          <w:color w:val="000000"/>
          <w:sz w:val="28"/>
          <w:szCs w:val="28"/>
          <w:highlight w:val="yellow"/>
          <w:lang w:val="en-US"/>
        </w:rPr>
        <w:t xml:space="preserve"> - </w:t>
      </w:r>
      <w:proofErr w:type="spellStart"/>
      <w:r w:rsidRPr="009479B6">
        <w:rPr>
          <w:rFonts w:ascii="Verdana" w:hAnsi="Verdana"/>
          <w:b/>
          <w:bCs/>
          <w:color w:val="000000"/>
          <w:sz w:val="28"/>
          <w:szCs w:val="28"/>
          <w:highlight w:val="yellow"/>
          <w:lang w:val="en-US"/>
        </w:rPr>
        <w:t>silny</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i</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odporny</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sektor</w:t>
      </w:r>
      <w:proofErr w:type="spellEnd"/>
      <w:r w:rsidRPr="009479B6">
        <w:rPr>
          <w:rFonts w:ascii="Verdana" w:hAnsi="Verdana"/>
          <w:b/>
          <w:bCs/>
          <w:color w:val="000000"/>
          <w:sz w:val="28"/>
          <w:szCs w:val="28"/>
          <w:highlight w:val="yellow"/>
          <w:lang w:val="en-US"/>
        </w:rPr>
        <w:t xml:space="preserve"> </w:t>
      </w:r>
      <w:proofErr w:type="spellStart"/>
      <w:r w:rsidRPr="009479B6">
        <w:rPr>
          <w:rFonts w:ascii="Verdana" w:hAnsi="Verdana"/>
          <w:b/>
          <w:bCs/>
          <w:color w:val="000000"/>
          <w:sz w:val="28"/>
          <w:szCs w:val="28"/>
          <w:highlight w:val="yellow"/>
          <w:lang w:val="en-US"/>
        </w:rPr>
        <w:t>obywatelski</w:t>
      </w:r>
      <w:proofErr w:type="spellEnd"/>
    </w:p>
    <w:p w14:paraId="0D2040FA" w14:textId="0355AC6B" w:rsidR="009479B6" w:rsidRPr="009479B6" w:rsidRDefault="009479B6" w:rsidP="009479B6">
      <w:pPr>
        <w:spacing w:before="100" w:beforeAutospacing="1" w:after="100" w:afterAutospacing="1" w:line="276" w:lineRule="auto"/>
        <w:outlineLvl w:val="1"/>
        <w:rPr>
          <w:rFonts w:ascii="Verdana" w:eastAsia="Times New Roman" w:hAnsi="Verdana" w:cs="Times New Roman"/>
          <w:b/>
          <w:bCs/>
          <w:color w:val="000000"/>
          <w:kern w:val="0"/>
          <w:sz w:val="28"/>
          <w:szCs w:val="28"/>
          <w:lang w:eastAsia="pl-PL"/>
          <w14:ligatures w14:val="none"/>
        </w:rPr>
      </w:pPr>
      <w:r w:rsidRPr="009479B6">
        <w:rPr>
          <w:rFonts w:ascii="Verdana" w:eastAsia="Times New Roman" w:hAnsi="Verdana" w:cs="Times New Roman"/>
          <w:b/>
          <w:bCs/>
          <w:color w:val="000000"/>
          <w:kern w:val="0"/>
          <w:sz w:val="28"/>
          <w:szCs w:val="28"/>
          <w:lang w:eastAsia="pl-PL"/>
          <w14:ligatures w14:val="none"/>
        </w:rPr>
        <w:t>1. Nazwa proponowanego działania/interwencji strategicznej wraz z propozycją nazw priorytetu i kierunku dla tego działania</w:t>
      </w:r>
    </w:p>
    <w:p w14:paraId="72D5C056" w14:textId="7CBC90F2" w:rsidR="00BB3815" w:rsidRDefault="006D1FEC" w:rsidP="006D1FEC">
      <w:pPr>
        <w:spacing w:before="100" w:beforeAutospacing="1" w:after="100" w:afterAutospacing="1" w:line="276" w:lineRule="auto"/>
        <w:rPr>
          <w:rFonts w:ascii="Verdana" w:eastAsia="Times New Roman" w:hAnsi="Verdana" w:cs="Times New Roman"/>
          <w:b/>
          <w:bCs/>
          <w:color w:val="000000"/>
          <w:kern w:val="0"/>
          <w:lang w:eastAsia="pl-PL"/>
          <w14:ligatures w14:val="none"/>
        </w:rPr>
      </w:pPr>
      <w:r w:rsidRPr="006D1FEC">
        <w:rPr>
          <w:rFonts w:ascii="Verdana" w:eastAsia="Times New Roman" w:hAnsi="Verdana" w:cs="Times New Roman"/>
          <w:b/>
          <w:bCs/>
          <w:color w:val="000000"/>
          <w:kern w:val="0"/>
          <w:lang w:eastAsia="pl-PL"/>
          <w14:ligatures w14:val="none"/>
        </w:rPr>
        <w:t>Nazwa proponowanego działania/interwencji strategicznej:</w:t>
      </w:r>
    </w:p>
    <w:p w14:paraId="0B1628B2" w14:textId="18DE440C" w:rsidR="006D1FEC" w:rsidRPr="00BB3815" w:rsidRDefault="00BB3815" w:rsidP="006D1FEC">
      <w:pPr>
        <w:spacing w:before="100" w:beforeAutospacing="1" w:after="100" w:afterAutospacing="1" w:line="276" w:lineRule="auto"/>
        <w:rPr>
          <w:rFonts w:ascii="Verdana" w:eastAsia="Times New Roman" w:hAnsi="Verdana" w:cs="Times New Roman"/>
          <w:b/>
          <w:bCs/>
          <w:color w:val="000000"/>
          <w:kern w:val="0"/>
          <w:lang w:eastAsia="pl-PL"/>
          <w14:ligatures w14:val="none"/>
        </w:rPr>
      </w:pPr>
      <w:r>
        <w:rPr>
          <w:rFonts w:ascii="Verdana" w:eastAsia="Times New Roman" w:hAnsi="Verdana" w:cs="Times New Roman"/>
          <w:b/>
          <w:bCs/>
          <w:color w:val="000000"/>
          <w:kern w:val="0"/>
          <w:lang w:eastAsia="pl-PL"/>
          <w14:ligatures w14:val="none"/>
        </w:rPr>
        <w:t>S</w:t>
      </w:r>
      <w:r w:rsidR="006D1FEC" w:rsidRPr="006D1FEC">
        <w:rPr>
          <w:rFonts w:ascii="Verdana" w:eastAsia="Times New Roman" w:hAnsi="Verdana" w:cs="Times New Roman"/>
          <w:b/>
          <w:bCs/>
          <w:color w:val="000000"/>
          <w:kern w:val="0"/>
          <w:lang w:eastAsia="pl-PL"/>
          <w14:ligatures w14:val="none"/>
        </w:rPr>
        <w:t>tabilnoś</w:t>
      </w:r>
      <w:r>
        <w:rPr>
          <w:rFonts w:ascii="Verdana" w:eastAsia="Times New Roman" w:hAnsi="Verdana" w:cs="Times New Roman"/>
          <w:b/>
          <w:bCs/>
          <w:color w:val="000000"/>
          <w:kern w:val="0"/>
          <w:lang w:eastAsia="pl-PL"/>
          <w14:ligatures w14:val="none"/>
        </w:rPr>
        <w:t>ć</w:t>
      </w:r>
      <w:r w:rsidR="006D1FEC" w:rsidRPr="006D1FEC">
        <w:rPr>
          <w:rFonts w:ascii="Verdana" w:eastAsia="Times New Roman" w:hAnsi="Verdana" w:cs="Times New Roman"/>
          <w:b/>
          <w:bCs/>
          <w:color w:val="000000"/>
          <w:kern w:val="0"/>
          <w:lang w:eastAsia="pl-PL"/>
          <w14:ligatures w14:val="none"/>
        </w:rPr>
        <w:t xml:space="preserve"> finansow</w:t>
      </w:r>
      <w:r>
        <w:rPr>
          <w:rFonts w:ascii="Verdana" w:eastAsia="Times New Roman" w:hAnsi="Verdana" w:cs="Times New Roman"/>
          <w:b/>
          <w:bCs/>
          <w:color w:val="000000"/>
          <w:kern w:val="0"/>
          <w:lang w:eastAsia="pl-PL"/>
          <w14:ligatures w14:val="none"/>
        </w:rPr>
        <w:t>a</w:t>
      </w:r>
      <w:r w:rsidR="006D1FEC" w:rsidRPr="006D1FEC">
        <w:rPr>
          <w:rFonts w:ascii="Verdana" w:eastAsia="Times New Roman" w:hAnsi="Verdana" w:cs="Times New Roman"/>
          <w:b/>
          <w:bCs/>
          <w:color w:val="000000"/>
          <w:kern w:val="0"/>
          <w:lang w:eastAsia="pl-PL"/>
          <w14:ligatures w14:val="none"/>
        </w:rPr>
        <w:t xml:space="preserve"> NGO</w:t>
      </w:r>
      <w:r w:rsidR="006D1FEC" w:rsidRPr="006D1FEC">
        <w:rPr>
          <w:rFonts w:ascii="Verdana" w:eastAsia="Times New Roman" w:hAnsi="Verdana" w:cs="Times New Roman"/>
          <w:color w:val="000000"/>
          <w:kern w:val="0"/>
          <w:lang w:eastAsia="pl-PL"/>
          <w14:ligatures w14:val="none"/>
        </w:rPr>
        <w:br/>
      </w:r>
      <w:r w:rsidR="006D1FEC" w:rsidRPr="006D1FEC">
        <w:rPr>
          <w:rFonts w:ascii="Verdana" w:eastAsia="Times New Roman" w:hAnsi="Verdana" w:cs="Times New Roman"/>
          <w:b/>
          <w:bCs/>
          <w:color w:val="000000"/>
          <w:kern w:val="0"/>
          <w:lang w:eastAsia="pl-PL"/>
          <w14:ligatures w14:val="none"/>
        </w:rPr>
        <w:t>Stabilne, odporne i niezależne społeczeństwo obywatelskie</w:t>
      </w:r>
    </w:p>
    <w:p w14:paraId="6C23DA80"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Propozycja nazwy kierunku działania:</w:t>
      </w:r>
      <w:r w:rsidRPr="006D1FEC">
        <w:rPr>
          <w:rFonts w:ascii="Verdana" w:eastAsia="Times New Roman" w:hAnsi="Verdana" w:cs="Times New Roman"/>
          <w:color w:val="000000"/>
          <w:kern w:val="0"/>
          <w:lang w:eastAsia="pl-PL"/>
          <w14:ligatures w14:val="none"/>
        </w:rPr>
        <w:br/>
      </w:r>
      <w:r w:rsidRPr="006D1FEC">
        <w:rPr>
          <w:rFonts w:ascii="Verdana" w:eastAsia="Times New Roman" w:hAnsi="Verdana" w:cs="Times New Roman"/>
          <w:b/>
          <w:bCs/>
          <w:color w:val="000000"/>
          <w:kern w:val="0"/>
          <w:lang w:eastAsia="pl-PL"/>
          <w14:ligatures w14:val="none"/>
        </w:rPr>
        <w:t>Rozwój systemowych instrumentów finansowania NGO wzmacniających płynność, ciągłość działania i realizację celów statutowych</w:t>
      </w:r>
    </w:p>
    <w:p w14:paraId="3682564A" w14:textId="38E0E09C"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Interwencja odpowiada na powiązane bariery rozwoju NGO:</w:t>
      </w:r>
    </w:p>
    <w:p w14:paraId="41351D0A" w14:textId="27229582" w:rsidR="006D1FEC" w:rsidRPr="006D1FEC" w:rsidRDefault="00BB3815" w:rsidP="006D1FEC">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Wymaganie wkładu własnego, szczególnie </w:t>
      </w:r>
      <w:proofErr w:type="gramStart"/>
      <w:r w:rsidRPr="006D1FEC">
        <w:rPr>
          <w:rFonts w:ascii="Verdana" w:eastAsia="Times New Roman" w:hAnsi="Verdana" w:cs="Times New Roman"/>
          <w:color w:val="000000"/>
          <w:kern w:val="0"/>
          <w:lang w:eastAsia="pl-PL"/>
          <w14:ligatures w14:val="none"/>
        </w:rPr>
        <w:t>finansowego,</w:t>
      </w:r>
      <w:proofErr w:type="gramEnd"/>
      <w:r w:rsidRPr="006D1FEC">
        <w:rPr>
          <w:rFonts w:ascii="Verdana" w:eastAsia="Times New Roman" w:hAnsi="Verdana" w:cs="Times New Roman"/>
          <w:color w:val="000000"/>
          <w:kern w:val="0"/>
          <w:lang w:eastAsia="pl-PL"/>
          <w14:ligatures w14:val="none"/>
        </w:rPr>
        <w:t xml:space="preserve"> jako warunku udziału w części konkursów i programów publicznych;</w:t>
      </w:r>
    </w:p>
    <w:p w14:paraId="2DA7DF67" w14:textId="2B166F94" w:rsidR="006D1FEC" w:rsidRPr="006D1FEC" w:rsidRDefault="00BB3815" w:rsidP="006D1FEC">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Ograniczoną możliwość tworzenia nadwyżki w odpłatnej działalności pożytku publicznego, nawet gdy środki są w całości przeznaczane na cele statutowe;</w:t>
      </w:r>
    </w:p>
    <w:p w14:paraId="1C3232EF" w14:textId="5F3880D3" w:rsidR="006D1FEC" w:rsidRPr="006D1FEC" w:rsidRDefault="00BB3815" w:rsidP="006D1FEC">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Brak systemowych zachęt i standardów tworzenia rezerw statutowych;</w:t>
      </w:r>
    </w:p>
    <w:p w14:paraId="4CD8BD5C" w14:textId="0FF9342B" w:rsidR="006D1FEC" w:rsidRDefault="00BB3815" w:rsidP="006D1FEC">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Niedostateczny rozwój produktów finansowych dostosowanych do </w:t>
      </w:r>
      <w:proofErr w:type="spellStart"/>
      <w:r w:rsidRPr="006D1FEC">
        <w:rPr>
          <w:rFonts w:ascii="Verdana" w:eastAsia="Times New Roman" w:hAnsi="Verdana" w:cs="Times New Roman"/>
          <w:color w:val="000000"/>
          <w:kern w:val="0"/>
          <w:lang w:eastAsia="pl-PL"/>
          <w14:ligatures w14:val="none"/>
        </w:rPr>
        <w:t>ngo</w:t>
      </w:r>
      <w:proofErr w:type="spellEnd"/>
      <w:r w:rsidRPr="006D1FEC">
        <w:rPr>
          <w:rFonts w:ascii="Verdana" w:eastAsia="Times New Roman" w:hAnsi="Verdana" w:cs="Times New Roman"/>
          <w:color w:val="000000"/>
          <w:kern w:val="0"/>
          <w:lang w:eastAsia="pl-PL"/>
          <w14:ligatures w14:val="none"/>
        </w:rPr>
        <w:t>, w tym produktów bezzwrotnych, zwrotnych, pomostowych, gwarancyjnych i produktów powiązanych z osiągnięciem celu społecznego.</w:t>
      </w:r>
    </w:p>
    <w:p w14:paraId="267C1DC3" w14:textId="78E98B5A" w:rsidR="00C83485" w:rsidRPr="006D1FEC" w:rsidRDefault="00C83485" w:rsidP="006D1FEC">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Pr>
          <w:rFonts w:ascii="Verdana" w:eastAsia="Times New Roman" w:hAnsi="Verdana" w:cs="Times New Roman"/>
          <w:color w:val="000000"/>
          <w:kern w:val="0"/>
          <w:lang w:eastAsia="pl-PL"/>
          <w14:ligatures w14:val="none"/>
        </w:rPr>
        <w:t>Jednolite obowiązki sprawozdawcze i kontrolne bez względu na wielkość podmiotu.</w:t>
      </w:r>
    </w:p>
    <w:p w14:paraId="31E557A7"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Celem działania jest stworzenie systemu, w którym NGO mogą finansować pełne koszty działalności statutowej, utrzymywać płynność, budować rezerwy, bezpiecznie realizować umowy dotacyjne i korzystać z instrumentów finansowych dopasowanych do ich charakteru non-profit.</w:t>
      </w:r>
    </w:p>
    <w:p w14:paraId="4660645B"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lastRenderedPageBreak/>
        <w:t>Moduł nie zakłada komercjalizacji sektora. Jego podstawą jest rozróżnienie między prywatnym zyskiem a nadwyżką statutową. Prywatna dystrybucja zysku powinna być zakazana. Natomiast nadwyżka pozostająca w organizacji i przeznaczana na cele statutowe powinna być uznana za narzędzie stabilności, jakości usług i odporności instytucjonalnej.</w:t>
      </w:r>
    </w:p>
    <w:p w14:paraId="7AF6C3DB"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Źródła i przykłady wykorzystane w uzasadnieniu:</w:t>
      </w:r>
      <w:r w:rsidRPr="006D1FEC">
        <w:rPr>
          <w:rFonts w:ascii="Verdana" w:eastAsia="Times New Roman" w:hAnsi="Verdana" w:cs="Times New Roman"/>
          <w:color w:val="000000"/>
          <w:kern w:val="0"/>
          <w:lang w:eastAsia="pl-PL"/>
          <w14:ligatures w14:val="none"/>
        </w:rPr>
        <w:br/>
        <w:t>Stowarzyszenie Klon/Jawor, „Kondycja organizacji pozarządowych 2024”: </w:t>
      </w:r>
      <w:hyperlink r:id="rId6" w:history="1">
        <w:r w:rsidRPr="006D1FEC">
          <w:rPr>
            <w:rFonts w:ascii="Verdana" w:eastAsia="Times New Roman" w:hAnsi="Verdana" w:cs="Times New Roman"/>
            <w:color w:val="0000FF"/>
            <w:kern w:val="0"/>
            <w:u w:val="single"/>
            <w:lang w:eastAsia="pl-PL"/>
            <w14:ligatures w14:val="none"/>
          </w:rPr>
          <w:t>https://api.ngo.pl/media/get/263657</w:t>
        </w:r>
      </w:hyperlink>
      <w:r w:rsidRPr="006D1FEC">
        <w:rPr>
          <w:rFonts w:ascii="Verdana" w:eastAsia="Times New Roman" w:hAnsi="Verdana" w:cs="Times New Roman"/>
          <w:color w:val="000000"/>
          <w:kern w:val="0"/>
          <w:lang w:eastAsia="pl-PL"/>
          <w14:ligatures w14:val="none"/>
        </w:rPr>
        <w:br/>
        <w:t>GUS, „Sektor non-profit w 2022 roku”: </w:t>
      </w:r>
      <w:hyperlink r:id="rId7" w:history="1">
        <w:r w:rsidRPr="006D1FEC">
          <w:rPr>
            <w:rFonts w:ascii="Verdana" w:eastAsia="Times New Roman" w:hAnsi="Verdana" w:cs="Times New Roman"/>
            <w:color w:val="0000FF"/>
            <w:kern w:val="0"/>
            <w:u w:val="single"/>
            <w:lang w:eastAsia="pl-PL"/>
            <w14:ligatures w14:val="none"/>
          </w:rPr>
          <w:t>https://stat.gov.pl/obszary-tematyczne/gospodarka-spoleczna-wolontariat/gospodarka-spoleczna-trzeci-sektor/sektor-non-profit-w-2022-roku,1,9.html</w:t>
        </w:r>
      </w:hyperlink>
      <w:r w:rsidRPr="006D1FEC">
        <w:rPr>
          <w:rFonts w:ascii="Verdana" w:eastAsia="Times New Roman" w:hAnsi="Verdana" w:cs="Times New Roman"/>
          <w:color w:val="000000"/>
          <w:kern w:val="0"/>
          <w:lang w:eastAsia="pl-PL"/>
          <w14:ligatures w14:val="none"/>
        </w:rPr>
        <w:br/>
        <w:t>Ustawa o działalności pożytku publicznego i o wolontariacie: </w:t>
      </w:r>
      <w:hyperlink r:id="rId8" w:history="1">
        <w:r w:rsidRPr="006D1FEC">
          <w:rPr>
            <w:rFonts w:ascii="Verdana" w:eastAsia="Times New Roman" w:hAnsi="Verdana" w:cs="Times New Roman"/>
            <w:color w:val="0000FF"/>
            <w:kern w:val="0"/>
            <w:u w:val="single"/>
            <w:lang w:eastAsia="pl-PL"/>
            <w14:ligatures w14:val="none"/>
          </w:rPr>
          <w:t>https://api.sejm.gov.pl/eli/acts/DU/2024/1491/text.pdf</w:t>
        </w:r>
      </w:hyperlink>
      <w:r w:rsidRPr="006D1FEC">
        <w:rPr>
          <w:rFonts w:ascii="Verdana" w:eastAsia="Times New Roman" w:hAnsi="Verdana" w:cs="Times New Roman"/>
          <w:color w:val="000000"/>
          <w:kern w:val="0"/>
          <w:lang w:eastAsia="pl-PL"/>
          <w14:ligatures w14:val="none"/>
        </w:rPr>
        <w:br/>
        <w:t xml:space="preserve">Rada Europy, </w:t>
      </w:r>
      <w:proofErr w:type="spellStart"/>
      <w:r w:rsidRPr="006D1FEC">
        <w:rPr>
          <w:rFonts w:ascii="Verdana" w:eastAsia="Times New Roman" w:hAnsi="Verdana" w:cs="Times New Roman"/>
          <w:color w:val="000000"/>
          <w:kern w:val="0"/>
          <w:lang w:eastAsia="pl-PL"/>
          <w14:ligatures w14:val="none"/>
        </w:rPr>
        <w:t>Recommendation</w:t>
      </w:r>
      <w:proofErr w:type="spellEnd"/>
      <w:r w:rsidRPr="006D1FEC">
        <w:rPr>
          <w:rFonts w:ascii="Verdana" w:eastAsia="Times New Roman" w:hAnsi="Verdana" w:cs="Times New Roman"/>
          <w:color w:val="000000"/>
          <w:kern w:val="0"/>
          <w:lang w:eastAsia="pl-PL"/>
          <w14:ligatures w14:val="none"/>
        </w:rPr>
        <w:t xml:space="preserve"> CM/</w:t>
      </w:r>
      <w:proofErr w:type="spellStart"/>
      <w:r w:rsidRPr="006D1FEC">
        <w:rPr>
          <w:rFonts w:ascii="Verdana" w:eastAsia="Times New Roman" w:hAnsi="Verdana" w:cs="Times New Roman"/>
          <w:color w:val="000000"/>
          <w:kern w:val="0"/>
          <w:lang w:eastAsia="pl-PL"/>
          <w14:ligatures w14:val="none"/>
        </w:rPr>
        <w:t>Rec</w:t>
      </w:r>
      <w:proofErr w:type="spellEnd"/>
      <w:r w:rsidRPr="006D1FEC">
        <w:rPr>
          <w:rFonts w:ascii="Verdana" w:eastAsia="Times New Roman" w:hAnsi="Verdana" w:cs="Times New Roman"/>
          <w:color w:val="000000"/>
          <w:kern w:val="0"/>
          <w:lang w:eastAsia="pl-PL"/>
          <w14:ligatures w14:val="none"/>
        </w:rPr>
        <w:t xml:space="preserve">(2007)14 on the </w:t>
      </w:r>
      <w:proofErr w:type="spellStart"/>
      <w:r w:rsidRPr="006D1FEC">
        <w:rPr>
          <w:rFonts w:ascii="Verdana" w:eastAsia="Times New Roman" w:hAnsi="Verdana" w:cs="Times New Roman"/>
          <w:color w:val="000000"/>
          <w:kern w:val="0"/>
          <w:lang w:eastAsia="pl-PL"/>
          <w14:ligatures w14:val="none"/>
        </w:rPr>
        <w:t>legal</w:t>
      </w:r>
      <w:proofErr w:type="spellEnd"/>
      <w:r w:rsidRPr="006D1FEC">
        <w:rPr>
          <w:rFonts w:ascii="Verdana" w:eastAsia="Times New Roman" w:hAnsi="Verdana" w:cs="Times New Roman"/>
          <w:color w:val="000000"/>
          <w:kern w:val="0"/>
          <w:lang w:eastAsia="pl-PL"/>
          <w14:ligatures w14:val="none"/>
        </w:rPr>
        <w:t xml:space="preserve"> status of non-</w:t>
      </w:r>
      <w:proofErr w:type="spellStart"/>
      <w:r w:rsidRPr="006D1FEC">
        <w:rPr>
          <w:rFonts w:ascii="Verdana" w:eastAsia="Times New Roman" w:hAnsi="Verdana" w:cs="Times New Roman"/>
          <w:color w:val="000000"/>
          <w:kern w:val="0"/>
          <w:lang w:eastAsia="pl-PL"/>
          <w14:ligatures w14:val="none"/>
        </w:rPr>
        <w:t>governmental</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organisations</w:t>
      </w:r>
      <w:proofErr w:type="spellEnd"/>
      <w:r w:rsidRPr="006D1FEC">
        <w:rPr>
          <w:rFonts w:ascii="Verdana" w:eastAsia="Times New Roman" w:hAnsi="Verdana" w:cs="Times New Roman"/>
          <w:color w:val="000000"/>
          <w:kern w:val="0"/>
          <w:lang w:eastAsia="pl-PL"/>
          <w14:ligatures w14:val="none"/>
        </w:rPr>
        <w:t xml:space="preserve"> in Europe: </w:t>
      </w:r>
      <w:hyperlink r:id="rId9" w:history="1">
        <w:r w:rsidRPr="006D1FEC">
          <w:rPr>
            <w:rFonts w:ascii="Verdana" w:eastAsia="Times New Roman" w:hAnsi="Verdana" w:cs="Times New Roman"/>
            <w:color w:val="0000FF"/>
            <w:kern w:val="0"/>
            <w:u w:val="single"/>
            <w:lang w:eastAsia="pl-PL"/>
            <w14:ligatures w14:val="none"/>
          </w:rPr>
          <w:t>https://search.coe.int/cm?i=09000016805d534d</w:t>
        </w:r>
      </w:hyperlink>
      <w:r w:rsidRPr="006D1FEC">
        <w:rPr>
          <w:rFonts w:ascii="Verdana" w:eastAsia="Times New Roman" w:hAnsi="Verdana" w:cs="Times New Roman"/>
          <w:color w:val="000000"/>
          <w:kern w:val="0"/>
          <w:lang w:eastAsia="pl-PL"/>
          <w14:ligatures w14:val="none"/>
        </w:rPr>
        <w:br/>
        <w:t>OECD, „</w:t>
      </w:r>
      <w:proofErr w:type="spellStart"/>
      <w:r w:rsidRPr="006D1FEC">
        <w:rPr>
          <w:rFonts w:ascii="Verdana" w:eastAsia="Times New Roman" w:hAnsi="Verdana" w:cs="Times New Roman"/>
          <w:color w:val="000000"/>
          <w:kern w:val="0"/>
          <w:lang w:eastAsia="pl-PL"/>
          <w14:ligatures w14:val="none"/>
        </w:rPr>
        <w:t>Towards</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meaningful</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civil</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society</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participation</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at</w:t>
      </w:r>
      <w:proofErr w:type="spellEnd"/>
      <w:r w:rsidRPr="006D1FEC">
        <w:rPr>
          <w:rFonts w:ascii="Verdana" w:eastAsia="Times New Roman" w:hAnsi="Verdana" w:cs="Times New Roman"/>
          <w:color w:val="000000"/>
          <w:kern w:val="0"/>
          <w:lang w:eastAsia="pl-PL"/>
          <w14:ligatures w14:val="none"/>
        </w:rPr>
        <w:t xml:space="preserve"> the </w:t>
      </w:r>
      <w:proofErr w:type="spellStart"/>
      <w:r w:rsidRPr="006D1FEC">
        <w:rPr>
          <w:rFonts w:ascii="Verdana" w:eastAsia="Times New Roman" w:hAnsi="Verdana" w:cs="Times New Roman"/>
          <w:color w:val="000000"/>
          <w:kern w:val="0"/>
          <w:lang w:eastAsia="pl-PL"/>
          <w14:ligatures w14:val="none"/>
        </w:rPr>
        <w:t>international</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level</w:t>
      </w:r>
      <w:proofErr w:type="spellEnd"/>
      <w:r w:rsidRPr="006D1FEC">
        <w:rPr>
          <w:rFonts w:ascii="Verdana" w:eastAsia="Times New Roman" w:hAnsi="Verdana" w:cs="Times New Roman"/>
          <w:color w:val="000000"/>
          <w:kern w:val="0"/>
          <w:lang w:eastAsia="pl-PL"/>
          <w14:ligatures w14:val="none"/>
        </w:rPr>
        <w:t>”, 2025: </w:t>
      </w:r>
      <w:hyperlink r:id="rId10" w:history="1">
        <w:r w:rsidRPr="006D1FEC">
          <w:rPr>
            <w:rFonts w:ascii="Verdana" w:eastAsia="Times New Roman" w:hAnsi="Verdana" w:cs="Times New Roman"/>
            <w:color w:val="0000FF"/>
            <w:kern w:val="0"/>
            <w:u w:val="single"/>
            <w:lang w:eastAsia="pl-PL"/>
            <w14:ligatures w14:val="none"/>
          </w:rPr>
          <w:t>https://www.oecd.org/content/dam/oecd/en/publications/reports/2025/01/towards-meaningful-civil-society-participation-at-the-international-level_99c618fe/8ed04dc2-en.pdf</w:t>
        </w:r>
      </w:hyperlink>
      <w:r w:rsidRPr="006D1FEC">
        <w:rPr>
          <w:rFonts w:ascii="Verdana" w:eastAsia="Times New Roman" w:hAnsi="Verdana" w:cs="Times New Roman"/>
          <w:color w:val="000000"/>
          <w:kern w:val="0"/>
          <w:lang w:eastAsia="pl-PL"/>
          <w14:ligatures w14:val="none"/>
        </w:rPr>
        <w:br/>
        <w:t>ESF+, „Financial instruments”: </w:t>
      </w:r>
      <w:hyperlink r:id="rId11" w:history="1">
        <w:r w:rsidRPr="006D1FEC">
          <w:rPr>
            <w:rFonts w:ascii="Verdana" w:eastAsia="Times New Roman" w:hAnsi="Verdana" w:cs="Times New Roman"/>
            <w:color w:val="0000FF"/>
            <w:kern w:val="0"/>
            <w:u w:val="single"/>
            <w:lang w:eastAsia="pl-PL"/>
            <w14:ligatures w14:val="none"/>
          </w:rPr>
          <w:t>https://european-social-fund-plus.ec.europa.eu/en/financial-instruments</w:t>
        </w:r>
      </w:hyperlink>
      <w:r w:rsidRPr="006D1FEC">
        <w:rPr>
          <w:rFonts w:ascii="Verdana" w:eastAsia="Times New Roman" w:hAnsi="Verdana" w:cs="Times New Roman"/>
          <w:color w:val="000000"/>
          <w:kern w:val="0"/>
          <w:lang w:eastAsia="pl-PL"/>
          <w14:ligatures w14:val="none"/>
        </w:rPr>
        <w:br/>
        <w:t>fi-</w:t>
      </w:r>
      <w:proofErr w:type="spellStart"/>
      <w:r w:rsidRPr="006D1FEC">
        <w:rPr>
          <w:rFonts w:ascii="Verdana" w:eastAsia="Times New Roman" w:hAnsi="Verdana" w:cs="Times New Roman"/>
          <w:color w:val="000000"/>
          <w:kern w:val="0"/>
          <w:lang w:eastAsia="pl-PL"/>
          <w14:ligatures w14:val="none"/>
        </w:rPr>
        <w:t>compass</w:t>
      </w:r>
      <w:proofErr w:type="spellEnd"/>
      <w:r w:rsidRPr="006D1FEC">
        <w:rPr>
          <w:rFonts w:ascii="Verdana" w:eastAsia="Times New Roman" w:hAnsi="Verdana" w:cs="Times New Roman"/>
          <w:color w:val="000000"/>
          <w:kern w:val="0"/>
          <w:lang w:eastAsia="pl-PL"/>
          <w14:ligatures w14:val="none"/>
        </w:rPr>
        <w:t>, „</w:t>
      </w:r>
      <w:proofErr w:type="spellStart"/>
      <w:r w:rsidRPr="006D1FEC">
        <w:rPr>
          <w:rFonts w:ascii="Verdana" w:eastAsia="Times New Roman" w:hAnsi="Verdana" w:cs="Times New Roman"/>
          <w:color w:val="000000"/>
          <w:kern w:val="0"/>
          <w:lang w:eastAsia="pl-PL"/>
          <w14:ligatures w14:val="none"/>
        </w:rPr>
        <w:t>Financing</w:t>
      </w:r>
      <w:proofErr w:type="spellEnd"/>
      <w:r w:rsidRPr="006D1FEC">
        <w:rPr>
          <w:rFonts w:ascii="Verdana" w:eastAsia="Times New Roman" w:hAnsi="Verdana" w:cs="Times New Roman"/>
          <w:color w:val="000000"/>
          <w:kern w:val="0"/>
          <w:lang w:eastAsia="pl-PL"/>
          <w14:ligatures w14:val="none"/>
        </w:rPr>
        <w:t xml:space="preserve"> the </w:t>
      </w:r>
      <w:proofErr w:type="spellStart"/>
      <w:r w:rsidRPr="006D1FEC">
        <w:rPr>
          <w:rFonts w:ascii="Verdana" w:eastAsia="Times New Roman" w:hAnsi="Verdana" w:cs="Times New Roman"/>
          <w:color w:val="000000"/>
          <w:kern w:val="0"/>
          <w:lang w:eastAsia="pl-PL"/>
          <w14:ligatures w14:val="none"/>
        </w:rPr>
        <w:t>social</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economy</w:t>
      </w:r>
      <w:proofErr w:type="spellEnd"/>
      <w:r w:rsidRPr="006D1FEC">
        <w:rPr>
          <w:rFonts w:ascii="Verdana" w:eastAsia="Times New Roman" w:hAnsi="Verdana" w:cs="Times New Roman"/>
          <w:color w:val="000000"/>
          <w:kern w:val="0"/>
          <w:lang w:eastAsia="pl-PL"/>
          <w14:ligatures w14:val="none"/>
        </w:rPr>
        <w:t xml:space="preserve"> in Poland”: </w:t>
      </w:r>
      <w:hyperlink r:id="rId12" w:history="1">
        <w:r w:rsidRPr="006D1FEC">
          <w:rPr>
            <w:rFonts w:ascii="Verdana" w:eastAsia="Times New Roman" w:hAnsi="Verdana" w:cs="Times New Roman"/>
            <w:color w:val="0000FF"/>
            <w:kern w:val="0"/>
            <w:u w:val="single"/>
            <w:lang w:eastAsia="pl-PL"/>
            <w14:ligatures w14:val="none"/>
          </w:rPr>
          <w:t>https://www.fi-compass.eu/sites/default/files/publications/Financing%20social%20economy%20in%20Poland%20%E2%80%93%20updated%20case%20study.pdf</w:t>
        </w:r>
      </w:hyperlink>
      <w:r w:rsidRPr="006D1FEC">
        <w:rPr>
          <w:rFonts w:ascii="Verdana" w:eastAsia="Times New Roman" w:hAnsi="Verdana" w:cs="Times New Roman"/>
          <w:color w:val="000000"/>
          <w:kern w:val="0"/>
          <w:lang w:eastAsia="pl-PL"/>
          <w14:ligatures w14:val="none"/>
        </w:rPr>
        <w:br/>
        <w:t>Holandia, ANBI – public benefit organisation: </w:t>
      </w:r>
      <w:hyperlink r:id="rId13" w:history="1">
        <w:r w:rsidRPr="006D1FEC">
          <w:rPr>
            <w:rFonts w:ascii="Verdana" w:eastAsia="Times New Roman" w:hAnsi="Verdana" w:cs="Times New Roman"/>
            <w:color w:val="0000FF"/>
            <w:kern w:val="0"/>
            <w:u w:val="single"/>
            <w:lang w:eastAsia="pl-PL"/>
            <w14:ligatures w14:val="none"/>
          </w:rPr>
          <w:t>https://www.belastingdienst.nl/wps/wcm/connect/bldcontenten/belastingdienst/business/business-public-benefit-organisations/public_benefit_organisations/conditions_pbos/which_conditions_must_be_met_by_pbo</w:t>
        </w:r>
      </w:hyperlink>
      <w:r w:rsidRPr="006D1FEC">
        <w:rPr>
          <w:rFonts w:ascii="Verdana" w:eastAsia="Times New Roman" w:hAnsi="Verdana" w:cs="Times New Roman"/>
          <w:color w:val="000000"/>
          <w:kern w:val="0"/>
          <w:lang w:eastAsia="pl-PL"/>
          <w14:ligatures w14:val="none"/>
        </w:rPr>
        <w:br/>
        <w:t xml:space="preserve">Irlandia, </w:t>
      </w:r>
      <w:proofErr w:type="spellStart"/>
      <w:r w:rsidRPr="006D1FEC">
        <w:rPr>
          <w:rFonts w:ascii="Verdana" w:eastAsia="Times New Roman" w:hAnsi="Verdana" w:cs="Times New Roman"/>
          <w:color w:val="000000"/>
          <w:kern w:val="0"/>
          <w:lang w:eastAsia="pl-PL"/>
          <w14:ligatures w14:val="none"/>
        </w:rPr>
        <w:t>reserves</w:t>
      </w:r>
      <w:proofErr w:type="spellEnd"/>
      <w:r w:rsidRPr="006D1FEC">
        <w:rPr>
          <w:rFonts w:ascii="Verdana" w:eastAsia="Times New Roman" w:hAnsi="Verdana" w:cs="Times New Roman"/>
          <w:color w:val="000000"/>
          <w:kern w:val="0"/>
          <w:lang w:eastAsia="pl-PL"/>
          <w14:ligatures w14:val="none"/>
        </w:rPr>
        <w:t xml:space="preserve"> policy for charities: </w:t>
      </w:r>
      <w:hyperlink r:id="rId14" w:history="1">
        <w:r w:rsidRPr="006D1FEC">
          <w:rPr>
            <w:rFonts w:ascii="Verdana" w:eastAsia="Times New Roman" w:hAnsi="Verdana" w:cs="Times New Roman"/>
            <w:color w:val="0000FF"/>
            <w:kern w:val="0"/>
            <w:u w:val="single"/>
            <w:lang w:eastAsia="pl-PL"/>
            <w14:ligatures w14:val="none"/>
          </w:rPr>
          <w:t>https://www.wheel.ie/advice-guidance/managing-your-organisation/financial-management-nonprofits/guidelines-reserves-policy</w:t>
        </w:r>
      </w:hyperlink>
      <w:r w:rsidRPr="006D1FEC">
        <w:rPr>
          <w:rFonts w:ascii="Verdana" w:eastAsia="Times New Roman" w:hAnsi="Verdana" w:cs="Times New Roman"/>
          <w:color w:val="000000"/>
          <w:kern w:val="0"/>
          <w:lang w:eastAsia="pl-PL"/>
          <w14:ligatures w14:val="none"/>
        </w:rPr>
        <w:br/>
        <w:t>OECD, „</w:t>
      </w:r>
      <w:proofErr w:type="spellStart"/>
      <w:r w:rsidRPr="006D1FEC">
        <w:rPr>
          <w:rFonts w:ascii="Verdana" w:eastAsia="Times New Roman" w:hAnsi="Verdana" w:cs="Times New Roman"/>
          <w:color w:val="000000"/>
          <w:kern w:val="0"/>
          <w:lang w:eastAsia="pl-PL"/>
          <w14:ligatures w14:val="none"/>
        </w:rPr>
        <w:t>Social</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impact</w:t>
      </w:r>
      <w:proofErr w:type="spellEnd"/>
      <w:r w:rsidRPr="006D1FEC">
        <w:rPr>
          <w:rFonts w:ascii="Verdana" w:eastAsia="Times New Roman" w:hAnsi="Verdana" w:cs="Times New Roman"/>
          <w:color w:val="000000"/>
          <w:kern w:val="0"/>
          <w:lang w:eastAsia="pl-PL"/>
          <w14:ligatures w14:val="none"/>
        </w:rPr>
        <w:t xml:space="preserve"> bonds”: </w:t>
      </w:r>
      <w:hyperlink r:id="rId15" w:history="1">
        <w:r w:rsidRPr="006D1FEC">
          <w:rPr>
            <w:rFonts w:ascii="Verdana" w:eastAsia="Times New Roman" w:hAnsi="Verdana" w:cs="Times New Roman"/>
            <w:color w:val="0000FF"/>
            <w:kern w:val="0"/>
            <w:u w:val="single"/>
            <w:lang w:eastAsia="pl-PL"/>
            <w14:ligatures w14:val="none"/>
          </w:rPr>
          <w:t>https://www.oecd.org/en/publications/social-impact-bonds_3064b396-en.html</w:t>
        </w:r>
      </w:hyperlink>
    </w:p>
    <w:p w14:paraId="67C4AFBA" w14:textId="77777777" w:rsidR="006D1FEC" w:rsidRPr="006D1FEC" w:rsidRDefault="006D1FEC" w:rsidP="006D1FEC">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6D1FEC">
        <w:rPr>
          <w:rFonts w:ascii="Verdana" w:eastAsia="Times New Roman" w:hAnsi="Verdana" w:cs="Times New Roman"/>
          <w:b/>
          <w:bCs/>
          <w:color w:val="000000"/>
          <w:kern w:val="0"/>
          <w:sz w:val="36"/>
          <w:szCs w:val="36"/>
          <w:lang w:eastAsia="pl-PL"/>
          <w14:ligatures w14:val="none"/>
        </w:rPr>
        <w:lastRenderedPageBreak/>
        <w:t>2. Opis proponowanego działania/interwencji strategicznej</w:t>
      </w:r>
    </w:p>
    <w:p w14:paraId="7F96667B"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Proponowane działanie polega na stworzeniu modułu stabilności finansowej NGO obejmującego zmiany regulacyjne, programowe i finansowe. Moduł powinien składać się z siedmiu wzajemnie uzupełniających się instrumentów.</w:t>
      </w:r>
    </w:p>
    <w:p w14:paraId="47E67CD0"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1. Ograniczenie wymogu wkładu własnego.</w:t>
      </w:r>
      <w:r w:rsidRPr="006D1FEC">
        <w:rPr>
          <w:rFonts w:ascii="Verdana" w:eastAsia="Times New Roman" w:hAnsi="Verdana" w:cs="Times New Roman"/>
          <w:color w:val="000000"/>
          <w:kern w:val="0"/>
          <w:lang w:eastAsia="pl-PL"/>
          <w14:ligatures w14:val="none"/>
        </w:rPr>
        <w:br/>
        <w:t>W zadaniach publicznych realizowanych przez NGO standardem powinno być powierzanie zadań z pełnym finansowaniem kosztów. Wkład własny, szczególnie finansowy, powinien być stosowany wyjątkowo i wymagać uzasadnienia. Jeżeli jest wymagany, powinien być możliwy do wniesienia w formie niefinansowej: pracy społecznej, wolontariatu, zasobów lokalowych, rzeczowych, eksperckich, partnerskich lub organizacyjnych.</w:t>
      </w:r>
    </w:p>
    <w:p w14:paraId="704F0243"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2. Urealnienie odpłatnej działalności pożytku publicznego.</w:t>
      </w:r>
      <w:r w:rsidRPr="006D1FEC">
        <w:rPr>
          <w:rFonts w:ascii="Verdana" w:eastAsia="Times New Roman" w:hAnsi="Verdana" w:cs="Times New Roman"/>
          <w:color w:val="000000"/>
          <w:kern w:val="0"/>
          <w:lang w:eastAsia="pl-PL"/>
          <w14:ligatures w14:val="none"/>
        </w:rPr>
        <w:br/>
        <w:t>Należy dopuścić możliwość tworzenia racjonalnej nadwyżki z działalności odpłatnej, jeżeli całość nadwyżki jest przeznaczana na cele statutowe. Nadwyżka statutowa może służyć pokrywaniu kosztów administracyjnych, księgowości, lokalu, wynagrodzeń, dostępności, komunikacji, ubezpieczeń, wkładu własnego, inwestycji w jakość usług i rezerw płynnościowych.</w:t>
      </w:r>
    </w:p>
    <w:p w14:paraId="2216C837"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3. Wprowadzenie kategorii odpłatnej działalności misyjnej.</w:t>
      </w:r>
      <w:r w:rsidRPr="006D1FEC">
        <w:rPr>
          <w:rFonts w:ascii="Verdana" w:eastAsia="Times New Roman" w:hAnsi="Verdana" w:cs="Times New Roman"/>
          <w:color w:val="000000"/>
          <w:kern w:val="0"/>
          <w:lang w:eastAsia="pl-PL"/>
          <w14:ligatures w14:val="none"/>
        </w:rPr>
        <w:br/>
        <w:t>Wzorując się funkcjonalnie na rozwiązaniach europejskich, w tym niemieckiej logice rozróżniania działalności służącej bezpośrednio celowi pożytku publicznego od działalności czysto komercyjnej, warto wprowadzić bardziej precyzyjne rozróżnienie: działalność nieodpłatna, odpłatna działalność statutowa/misyjna oraz działalność gospodarcza uboczna. O kwalifikacji nie powinien decydować wyłącznie fakt wystąpienia nadwyżki, lecz cel działania, sposób wykorzystania nadwyżki, brak prywatnej dystrybucji oraz związek działalności z celami statutowymi.</w:t>
      </w:r>
    </w:p>
    <w:p w14:paraId="5F0BB3D4"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4. Rezerwy statutowe jako element odpowiedzialnego zarządzania.</w:t>
      </w:r>
      <w:r w:rsidRPr="006D1FEC">
        <w:rPr>
          <w:rFonts w:ascii="Verdana" w:eastAsia="Times New Roman" w:hAnsi="Verdana" w:cs="Times New Roman"/>
          <w:color w:val="000000"/>
          <w:kern w:val="0"/>
          <w:lang w:eastAsia="pl-PL"/>
          <w14:ligatures w14:val="none"/>
        </w:rPr>
        <w:br/>
        <w:t xml:space="preserve">NGO powinny mieć prawo i zachętę do tworzenia rezerw celowych i płynnościowych. Rezerwy mogą zabezpieczać opóźnienia refundacji, wkład własny, koszty stałe, utrzymanie zespołu, lokal, dostępność, bezpieczeństwo odbiorców, zobowiązania pracownicze i sytuacje kryzysowe. Przykład Irlandii pokazuje, że organizacje charytatywne mogą </w:t>
      </w:r>
      <w:r w:rsidRPr="006D1FEC">
        <w:rPr>
          <w:rFonts w:ascii="Verdana" w:eastAsia="Times New Roman" w:hAnsi="Verdana" w:cs="Times New Roman"/>
          <w:color w:val="000000"/>
          <w:kern w:val="0"/>
          <w:lang w:eastAsia="pl-PL"/>
          <w14:ligatures w14:val="none"/>
        </w:rPr>
        <w:lastRenderedPageBreak/>
        <w:t>posiadać politykę rezerw, o ile jasno wyjaśniają cel i poziom gromadzonych środków w dokumentach finansowych.</w:t>
      </w:r>
    </w:p>
    <w:p w14:paraId="5EFEC1A7"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5. Produkty bezzwrotne wzmacniające stabilność.</w:t>
      </w:r>
      <w:r w:rsidRPr="006D1FEC">
        <w:rPr>
          <w:rFonts w:ascii="Verdana" w:eastAsia="Times New Roman" w:hAnsi="Verdana" w:cs="Times New Roman"/>
          <w:color w:val="000000"/>
          <w:kern w:val="0"/>
          <w:lang w:eastAsia="pl-PL"/>
          <w14:ligatures w14:val="none"/>
        </w:rPr>
        <w:br/>
        <w:t>Należy rozwijać dotacje instytucjonalne, granty na koszty stałe, granty pomostowe, granty kryzysowe, granty na rezerwy celowe i granty rozwojowe. Powinny one finansować nie tylko działania projektowe, ale też koszty warunkujące ich jakość: zarządzanie, monitoring, ewaluację, obsługę prawną, bezpieczeństwo pracy, dostępność, księgowość i komunikację.</w:t>
      </w:r>
    </w:p>
    <w:p w14:paraId="6E58043F"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6. Produkty zwrotne, pomostowe i gwarancyjne dla NGO.</w:t>
      </w:r>
      <w:r w:rsidRPr="006D1FEC">
        <w:rPr>
          <w:rFonts w:ascii="Verdana" w:eastAsia="Times New Roman" w:hAnsi="Verdana" w:cs="Times New Roman"/>
          <w:color w:val="000000"/>
          <w:kern w:val="0"/>
          <w:lang w:eastAsia="pl-PL"/>
          <w14:ligatures w14:val="none"/>
        </w:rPr>
        <w:br/>
        <w:t>Potrzebne są instrumenty dostosowane do organizacji non-profit: preferencyjne pożyczki pomostowe, pożyczki płynnościowe, pożyczki inwestycyjne, mikropożyczki, gwarancje, poręczenia, linie kredytowe oraz produkty zabezpieczające umowy dotacyjne. Instrumenty zwrotne powinny uzupełniać dotacje, a nie je zastępować. Mogą być przydatne zwłaszcza przy opóźnieniach refundacji, zabezpieczaniu umów, inwestycjach, prefinansowaniu działań i rozwoju usług odpłatnych.</w:t>
      </w:r>
    </w:p>
    <w:p w14:paraId="41A7EA42"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7. Produkty powiązane z osiągnięciem celu społecznego.</w:t>
      </w:r>
      <w:r w:rsidRPr="006D1FEC">
        <w:rPr>
          <w:rFonts w:ascii="Verdana" w:eastAsia="Times New Roman" w:hAnsi="Verdana" w:cs="Times New Roman"/>
          <w:color w:val="000000"/>
          <w:kern w:val="0"/>
          <w:lang w:eastAsia="pl-PL"/>
          <w14:ligatures w14:val="none"/>
        </w:rPr>
        <w:br/>
        <w:t xml:space="preserve">Należy pilotażowo rozwijać instrumenty, w których część finansowania może zostać umorzona albo przekształcona w grant po osiągnięciu uzgodnionych rezultatów społecznych. Mogą to być pożyczki z premią za rezultat, dotacje warunkowe, granty </w:t>
      </w:r>
      <w:proofErr w:type="spellStart"/>
      <w:r w:rsidRPr="006D1FEC">
        <w:rPr>
          <w:rFonts w:ascii="Verdana" w:eastAsia="Times New Roman" w:hAnsi="Verdana" w:cs="Times New Roman"/>
          <w:color w:val="000000"/>
          <w:kern w:val="0"/>
          <w:lang w:eastAsia="pl-PL"/>
          <w14:ligatures w14:val="none"/>
        </w:rPr>
        <w:t>rezultatowe</w:t>
      </w:r>
      <w:proofErr w:type="spellEnd"/>
      <w:r w:rsidRPr="006D1FEC">
        <w:rPr>
          <w:rFonts w:ascii="Verdana" w:eastAsia="Times New Roman" w:hAnsi="Verdana" w:cs="Times New Roman"/>
          <w:color w:val="000000"/>
          <w:kern w:val="0"/>
          <w:lang w:eastAsia="pl-PL"/>
          <w14:ligatures w14:val="none"/>
        </w:rPr>
        <w:t xml:space="preserve"> lub instrumenty mieszane łączące dotację, pożyczkę, gwarancję i doradztwo. Powinny być stosowane ostrożnie, tylko tam, gdzie rezultat można rzetelnie mierzyć bez wypychania NGO w stronę działań łatwych, ale mniej potrzebnych społecznie.</w:t>
      </w:r>
    </w:p>
    <w:p w14:paraId="61D2CC1A" w14:textId="77777777" w:rsid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Moduł powinien opierać się na zasadzie proporcjonalności. Małe NGO powinny mieć dostęp do prostych, </w:t>
      </w:r>
      <w:proofErr w:type="spellStart"/>
      <w:r w:rsidRPr="006D1FEC">
        <w:rPr>
          <w:rFonts w:ascii="Verdana" w:eastAsia="Times New Roman" w:hAnsi="Verdana" w:cs="Times New Roman"/>
          <w:color w:val="000000"/>
          <w:kern w:val="0"/>
          <w:lang w:eastAsia="pl-PL"/>
          <w14:ligatures w14:val="none"/>
        </w:rPr>
        <w:t>niskokosztowych</w:t>
      </w:r>
      <w:proofErr w:type="spellEnd"/>
      <w:r w:rsidRPr="006D1FEC">
        <w:rPr>
          <w:rFonts w:ascii="Verdana" w:eastAsia="Times New Roman" w:hAnsi="Verdana" w:cs="Times New Roman"/>
          <w:color w:val="000000"/>
          <w:kern w:val="0"/>
          <w:lang w:eastAsia="pl-PL"/>
          <w14:ligatures w14:val="none"/>
        </w:rPr>
        <w:t xml:space="preserve"> produktów i uproszczonej sprawozdawczości. Większe organizacje usługowe, federacje i operatorzy zadań publicznych mogą korzystać z bardziej zaawansowanych instrumentów, o ile towarzyszy im doradztwo finansowe, prawne i księgowe.</w:t>
      </w:r>
    </w:p>
    <w:p w14:paraId="4CF209C8" w14:textId="19C0F4A8" w:rsidR="00CC68B2" w:rsidRDefault="00CC68B2"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Pr>
          <w:rFonts w:ascii="Verdana" w:eastAsia="Times New Roman" w:hAnsi="Verdana" w:cs="Times New Roman"/>
          <w:b/>
          <w:bCs/>
          <w:color w:val="000000"/>
          <w:kern w:val="0"/>
          <w:lang w:eastAsia="pl-PL"/>
          <w14:ligatures w14:val="none"/>
        </w:rPr>
        <w:t>8</w:t>
      </w:r>
      <w:r w:rsidRPr="006D1FEC">
        <w:rPr>
          <w:rFonts w:ascii="Verdana" w:eastAsia="Times New Roman" w:hAnsi="Verdana" w:cs="Times New Roman"/>
          <w:b/>
          <w:bCs/>
          <w:color w:val="000000"/>
          <w:kern w:val="0"/>
          <w:lang w:eastAsia="pl-PL"/>
          <w14:ligatures w14:val="none"/>
        </w:rPr>
        <w:t xml:space="preserve">. </w:t>
      </w:r>
      <w:r>
        <w:rPr>
          <w:rFonts w:ascii="Verdana" w:eastAsia="Times New Roman" w:hAnsi="Verdana" w:cs="Times New Roman"/>
          <w:b/>
          <w:bCs/>
          <w:color w:val="000000"/>
          <w:kern w:val="0"/>
          <w:lang w:eastAsia="pl-PL"/>
          <w14:ligatures w14:val="none"/>
        </w:rPr>
        <w:t xml:space="preserve">Rozróżnienie na </w:t>
      </w:r>
      <w:r w:rsidR="00B96DFD">
        <w:rPr>
          <w:rFonts w:ascii="Verdana" w:eastAsia="Times New Roman" w:hAnsi="Verdana" w:cs="Times New Roman"/>
          <w:b/>
          <w:bCs/>
          <w:color w:val="000000"/>
          <w:kern w:val="0"/>
          <w:lang w:eastAsia="pl-PL"/>
          <w14:ligatures w14:val="none"/>
        </w:rPr>
        <w:t>status</w:t>
      </w:r>
      <w:r>
        <w:rPr>
          <w:rFonts w:ascii="Verdana" w:eastAsia="Times New Roman" w:hAnsi="Verdana" w:cs="Times New Roman"/>
          <w:b/>
          <w:bCs/>
          <w:color w:val="000000"/>
          <w:kern w:val="0"/>
          <w:lang w:eastAsia="pl-PL"/>
          <w14:ligatures w14:val="none"/>
        </w:rPr>
        <w:t xml:space="preserve"> mikro/mał</w:t>
      </w:r>
      <w:r w:rsidR="00B96DFD">
        <w:rPr>
          <w:rFonts w:ascii="Verdana" w:eastAsia="Times New Roman" w:hAnsi="Verdana" w:cs="Times New Roman"/>
          <w:b/>
          <w:bCs/>
          <w:color w:val="000000"/>
          <w:kern w:val="0"/>
          <w:lang w:eastAsia="pl-PL"/>
          <w14:ligatures w14:val="none"/>
        </w:rPr>
        <w:t>ej</w:t>
      </w:r>
      <w:r>
        <w:rPr>
          <w:rFonts w:ascii="Verdana" w:eastAsia="Times New Roman" w:hAnsi="Verdana" w:cs="Times New Roman"/>
          <w:b/>
          <w:bCs/>
          <w:color w:val="000000"/>
          <w:kern w:val="0"/>
          <w:lang w:eastAsia="pl-PL"/>
          <w14:ligatures w14:val="none"/>
        </w:rPr>
        <w:t>/średni</w:t>
      </w:r>
      <w:r w:rsidR="00B96DFD">
        <w:rPr>
          <w:rFonts w:ascii="Verdana" w:eastAsia="Times New Roman" w:hAnsi="Verdana" w:cs="Times New Roman"/>
          <w:b/>
          <w:bCs/>
          <w:color w:val="000000"/>
          <w:kern w:val="0"/>
          <w:lang w:eastAsia="pl-PL"/>
          <w14:ligatures w14:val="none"/>
        </w:rPr>
        <w:t>ej</w:t>
      </w:r>
      <w:r>
        <w:rPr>
          <w:rFonts w:ascii="Verdana" w:eastAsia="Times New Roman" w:hAnsi="Verdana" w:cs="Times New Roman"/>
          <w:b/>
          <w:bCs/>
          <w:color w:val="000000"/>
          <w:kern w:val="0"/>
          <w:lang w:eastAsia="pl-PL"/>
          <w14:ligatures w14:val="none"/>
        </w:rPr>
        <w:t>/duż</w:t>
      </w:r>
      <w:r w:rsidR="00B96DFD">
        <w:rPr>
          <w:rFonts w:ascii="Verdana" w:eastAsia="Times New Roman" w:hAnsi="Verdana" w:cs="Times New Roman"/>
          <w:b/>
          <w:bCs/>
          <w:color w:val="000000"/>
          <w:kern w:val="0"/>
          <w:lang w:eastAsia="pl-PL"/>
          <w14:ligatures w14:val="none"/>
        </w:rPr>
        <w:t xml:space="preserve">ej organizacji pozarządowej względem obowiązków kontrolnych i sprawozdawczych. </w:t>
      </w:r>
      <w:r w:rsidRPr="006D1FEC">
        <w:rPr>
          <w:rFonts w:ascii="Verdana" w:eastAsia="Times New Roman" w:hAnsi="Verdana" w:cs="Times New Roman"/>
          <w:color w:val="000000"/>
          <w:kern w:val="0"/>
          <w:lang w:eastAsia="pl-PL"/>
          <w14:ligatures w14:val="none"/>
        </w:rPr>
        <w:br/>
      </w:r>
    </w:p>
    <w:p w14:paraId="1E50EA90" w14:textId="77777777" w:rsidR="00BB3815" w:rsidRPr="006D1FEC" w:rsidRDefault="00BB3815"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p>
    <w:p w14:paraId="6EECF163" w14:textId="77777777" w:rsidR="006D1FEC" w:rsidRPr="006D1FEC" w:rsidRDefault="006D1FEC" w:rsidP="006D1FEC">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6D1FEC">
        <w:rPr>
          <w:rFonts w:ascii="Verdana" w:eastAsia="Times New Roman" w:hAnsi="Verdana" w:cs="Times New Roman"/>
          <w:b/>
          <w:bCs/>
          <w:color w:val="000000"/>
          <w:kern w:val="0"/>
          <w:sz w:val="36"/>
          <w:szCs w:val="36"/>
          <w:lang w:eastAsia="pl-PL"/>
          <w14:ligatures w14:val="none"/>
        </w:rPr>
        <w:t>3. Diagnoza obszaru, w którym proponowane jest działanie/interwencja strategiczna</w:t>
      </w:r>
    </w:p>
    <w:p w14:paraId="12F54B0B"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Stabilność finansowa jest jednym z podstawowych warunków skutecznego działania NGO. Organizacje nie realizują wyłącznie pojedynczych projektów. Utrzymują zespoły, lokale, księgowość, dokumentację, relacje z wolontariuszami, standardy dostępności, jakość usług, bezpieczeństwo odbiorców i ciągłość wsparcia. Są to koszty niezbędne do realizacji celów statutowych, lecz obecny model finansowania często traktuje je jako koszty drugorzędne.</w:t>
      </w:r>
    </w:p>
    <w:p w14:paraId="674CA402"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Dane Klon/Jawor pokazują trwałość problemu finansowego w sektorze. W badaniu „Kondycja organizacji pozarządowych 2024” 72% organizacji wskazało trudności w zdobywaniu funduszy na działania, a odsetek organizacji mających problem z płynnością finansową wzrósł z 40% w 2021 r. do 51% w 2024 r. Raport wskazuje, że trudności w zdobywaniu funduszy są najczęściej zgłaszanym problemem organizacji od 2002 r. Dane te pokazują, że problem nie jest incydentalny, lecz strukturalny.</w:t>
      </w:r>
    </w:p>
    <w:p w14:paraId="023CD7B7"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Znaczenie sektora potwierdzają dane GUS. W 2022 r. w Polsce działało 103,4 tys. organizacji non-profit, zrzeszających 8,3 mln członków i tworzących 153,4 tys. pełnoetatowych miejsc pracy. Tak duża skala oznacza, że niestabilność finansowa NGO nie jest wyłącznie problemem wewnętrznym sektora. Wpływa na dostępność usług społecznych, aktywność obywatelską, zatrudnienie, integrację społeczną i zdolność państwa oraz samorządów do współpracy z partnerami społecznymi.</w:t>
      </w:r>
    </w:p>
    <w:p w14:paraId="732C4C09" w14:textId="66014ABF"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 xml:space="preserve">Bariera 1: </w:t>
      </w:r>
      <w:r w:rsidR="00EF746C">
        <w:rPr>
          <w:rFonts w:ascii="Verdana" w:eastAsia="Times New Roman" w:hAnsi="Verdana" w:cs="Times New Roman"/>
          <w:b/>
          <w:bCs/>
          <w:color w:val="000000"/>
          <w:kern w:val="0"/>
          <w:lang w:eastAsia="pl-PL"/>
          <w14:ligatures w14:val="none"/>
        </w:rPr>
        <w:t>W</w:t>
      </w:r>
      <w:r w:rsidRPr="006D1FEC">
        <w:rPr>
          <w:rFonts w:ascii="Verdana" w:eastAsia="Times New Roman" w:hAnsi="Verdana" w:cs="Times New Roman"/>
          <w:b/>
          <w:bCs/>
          <w:color w:val="000000"/>
          <w:kern w:val="0"/>
          <w:lang w:eastAsia="pl-PL"/>
          <w14:ligatures w14:val="none"/>
        </w:rPr>
        <w:t>kład własny jako mechanizm selekcyjny.</w:t>
      </w:r>
      <w:r w:rsidRPr="006D1FEC">
        <w:rPr>
          <w:rFonts w:ascii="Verdana" w:eastAsia="Times New Roman" w:hAnsi="Verdana" w:cs="Times New Roman"/>
          <w:color w:val="000000"/>
          <w:kern w:val="0"/>
          <w:lang w:eastAsia="pl-PL"/>
          <w14:ligatures w14:val="none"/>
        </w:rPr>
        <w:br/>
        <w:t xml:space="preserve">Wymóg wkładu własnego nie jest neutralny. W praktyce premiuje organizacje, które mają rezerwy, darczyńców, przychody własne albo silne zaplecze administracyjne. Ogranicza natomiast dostęp organizacjom małym, lokalnym, </w:t>
      </w:r>
      <w:proofErr w:type="spellStart"/>
      <w:r w:rsidRPr="006D1FEC">
        <w:rPr>
          <w:rFonts w:ascii="Verdana" w:eastAsia="Times New Roman" w:hAnsi="Verdana" w:cs="Times New Roman"/>
          <w:color w:val="000000"/>
          <w:kern w:val="0"/>
          <w:lang w:eastAsia="pl-PL"/>
          <w14:ligatures w14:val="none"/>
        </w:rPr>
        <w:t>rzeczniczym</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wolontariackim</w:t>
      </w:r>
      <w:proofErr w:type="spellEnd"/>
      <w:r w:rsidRPr="006D1FEC">
        <w:rPr>
          <w:rFonts w:ascii="Verdana" w:eastAsia="Times New Roman" w:hAnsi="Verdana" w:cs="Times New Roman"/>
          <w:color w:val="000000"/>
          <w:kern w:val="0"/>
          <w:lang w:eastAsia="pl-PL"/>
          <w14:ligatures w14:val="none"/>
        </w:rPr>
        <w:t xml:space="preserve"> lub działającym z grupami, których potrzeby nie generują przychodów rynkowych. Jeżeli ponad połowa NGO ma problemy z płynnością, obowiązkowy wkład finansowy staje się barierą wejścia do konkursów i programów publicznych.</w:t>
      </w:r>
    </w:p>
    <w:p w14:paraId="056DFD32"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Ustawa o działalności pożytku publicznego i o wolontariacie przewiduje zarówno powierzanie zadań z finansowaniem, jak i wspieranie zadań z </w:t>
      </w:r>
      <w:r w:rsidRPr="006D1FEC">
        <w:rPr>
          <w:rFonts w:ascii="Verdana" w:eastAsia="Times New Roman" w:hAnsi="Verdana" w:cs="Times New Roman"/>
          <w:color w:val="000000"/>
          <w:kern w:val="0"/>
          <w:lang w:eastAsia="pl-PL"/>
          <w14:ligatures w14:val="none"/>
        </w:rPr>
        <w:lastRenderedPageBreak/>
        <w:t>dofinansowaniem. Oznacza to, że pełne finansowanie zadań publicznych jest zgodne z logiką ustawy. Problemem jest praktyka konkursowa, w której zbyt często oczekuje się współfinansowania przez podmioty non-profit, nawet gdy realizują one zadania publiczne na rzecz mieszkańców.</w:t>
      </w:r>
    </w:p>
    <w:p w14:paraId="67971E3C" w14:textId="108C7AAB"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 xml:space="preserve">Bariera 2: </w:t>
      </w:r>
      <w:r w:rsidR="00EF746C">
        <w:rPr>
          <w:rFonts w:ascii="Verdana" w:eastAsia="Times New Roman" w:hAnsi="Verdana" w:cs="Times New Roman"/>
          <w:b/>
          <w:bCs/>
          <w:color w:val="000000"/>
          <w:kern w:val="0"/>
          <w:lang w:eastAsia="pl-PL"/>
          <w14:ligatures w14:val="none"/>
        </w:rPr>
        <w:t>O</w:t>
      </w:r>
      <w:r w:rsidRPr="006D1FEC">
        <w:rPr>
          <w:rFonts w:ascii="Verdana" w:eastAsia="Times New Roman" w:hAnsi="Verdana" w:cs="Times New Roman"/>
          <w:b/>
          <w:bCs/>
          <w:color w:val="000000"/>
          <w:kern w:val="0"/>
          <w:lang w:eastAsia="pl-PL"/>
          <w14:ligatures w14:val="none"/>
        </w:rPr>
        <w:t>graniczona możliwość tworzenia nadwyżki statutowej.</w:t>
      </w:r>
      <w:r w:rsidRPr="006D1FEC">
        <w:rPr>
          <w:rFonts w:ascii="Verdana" w:eastAsia="Times New Roman" w:hAnsi="Verdana" w:cs="Times New Roman"/>
          <w:color w:val="000000"/>
          <w:kern w:val="0"/>
          <w:lang w:eastAsia="pl-PL"/>
          <w14:ligatures w14:val="none"/>
        </w:rPr>
        <w:br/>
        <w:t>Ustawa dopuszcza odpłatną działalność pożytku publicznego i wskazuje, że przychód z tej działalności służy wyłącznie działalności pożytku publicznego. Jednocześnie działalność odpłatna staje się działalnością gospodarczą, jeżeli wynagrodzenie jest wyższe niż koszty danego rodzaju działalności. Mechanizm ten chroni przed ukrytą działalnością komercyjną, ale w obecnym kształcie utrudnia organizacjom non-profit budowanie stabilności finansowej.</w:t>
      </w:r>
    </w:p>
    <w:p w14:paraId="2B6FD10B"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Problem polega na tym, że koszt działania społecznego nie ogranicza się do kosztu bezpośredniego. Obejmuje także administrację, księgowość, koordynację, lokal, dostępność, komunikację, obsługę prawną, ryzyko, utrzymanie zespołu, standardy jakości i rezerwę na płynność. Jeśli NGO nie może kalkulować pełnych kosztów i niewielkiej nadwyżki statutowej, pozostaje zależna od projektów i ryzykuje utratę płynności.</w:t>
      </w:r>
    </w:p>
    <w:p w14:paraId="7BB36663"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W systemach europejskich coraz częściej akcentuje się potrzebę rozróżnienia prywatnego zysku od nadwyżki pozostającej w organizacji. Rekomendacja Rady Europy CM/</w:t>
      </w:r>
      <w:proofErr w:type="spellStart"/>
      <w:proofErr w:type="gramStart"/>
      <w:r w:rsidRPr="006D1FEC">
        <w:rPr>
          <w:rFonts w:ascii="Verdana" w:eastAsia="Times New Roman" w:hAnsi="Verdana" w:cs="Times New Roman"/>
          <w:color w:val="000000"/>
          <w:kern w:val="0"/>
          <w:lang w:eastAsia="pl-PL"/>
          <w14:ligatures w14:val="none"/>
        </w:rPr>
        <w:t>Rec</w:t>
      </w:r>
      <w:proofErr w:type="spellEnd"/>
      <w:r w:rsidRPr="006D1FEC">
        <w:rPr>
          <w:rFonts w:ascii="Verdana" w:eastAsia="Times New Roman" w:hAnsi="Verdana" w:cs="Times New Roman"/>
          <w:color w:val="000000"/>
          <w:kern w:val="0"/>
          <w:lang w:eastAsia="pl-PL"/>
          <w14:ligatures w14:val="none"/>
        </w:rPr>
        <w:t>(</w:t>
      </w:r>
      <w:proofErr w:type="gramEnd"/>
      <w:r w:rsidRPr="006D1FEC">
        <w:rPr>
          <w:rFonts w:ascii="Verdana" w:eastAsia="Times New Roman" w:hAnsi="Verdana" w:cs="Times New Roman"/>
          <w:color w:val="000000"/>
          <w:kern w:val="0"/>
          <w:lang w:eastAsia="pl-PL"/>
          <w14:ligatures w14:val="none"/>
        </w:rPr>
        <w:t>2007)14 wskazuje, że NGO powinny mieć możliwość prowadzenia zgodnej z prawem działalności ekonomicznej, biznesowej lub komercyjnej w celu wspierania działalności non-profit, bez specjalnego zezwolenia, z zastrzeżeniem ogólnych wymogów właściwych dla danej działalności. To podejście potwierdza, że działalność ekonomiczna NGO nie musi być sprzeczna z charakterem non-profit, o ile służy celom statutowym i nie prowadzi do prywatnej dystrybucji zysku.</w:t>
      </w:r>
    </w:p>
    <w:p w14:paraId="2C6BEA8A" w14:textId="61B68301"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 xml:space="preserve">Bariera 3: </w:t>
      </w:r>
      <w:r w:rsidR="00EF746C">
        <w:rPr>
          <w:rFonts w:ascii="Verdana" w:eastAsia="Times New Roman" w:hAnsi="Verdana" w:cs="Times New Roman"/>
          <w:b/>
          <w:bCs/>
          <w:color w:val="000000"/>
          <w:kern w:val="0"/>
          <w:lang w:eastAsia="pl-PL"/>
          <w14:ligatures w14:val="none"/>
        </w:rPr>
        <w:t>B</w:t>
      </w:r>
      <w:r w:rsidRPr="006D1FEC">
        <w:rPr>
          <w:rFonts w:ascii="Verdana" w:eastAsia="Times New Roman" w:hAnsi="Verdana" w:cs="Times New Roman"/>
          <w:b/>
          <w:bCs/>
          <w:color w:val="000000"/>
          <w:kern w:val="0"/>
          <w:lang w:eastAsia="pl-PL"/>
          <w14:ligatures w14:val="none"/>
        </w:rPr>
        <w:t>rak systemowej polityki rezerw.</w:t>
      </w:r>
      <w:r w:rsidRPr="006D1FEC">
        <w:rPr>
          <w:rFonts w:ascii="Verdana" w:eastAsia="Times New Roman" w:hAnsi="Verdana" w:cs="Times New Roman"/>
          <w:color w:val="000000"/>
          <w:kern w:val="0"/>
          <w:lang w:eastAsia="pl-PL"/>
          <w14:ligatures w14:val="none"/>
        </w:rPr>
        <w:br/>
        <w:t>W Polsce rezerwy NGO bywają społecznie i administracyjnie postrzegane jako „nadmiar środków”, a nie jako element odpowiedzialnego zarządzania ryzykiem. Tymczasem rezerwa finansowa jest warunkiem ciągłości działania, szczególnie przy opóźnieniach płatności, refundacyjnym charakterze części programów, rosnących kosztach pracy i konieczności utrzymania zespołów. Przykład Irlandii pokazuje, że właściwym rozwiązaniem nie jest zniechęcanie organizacji do posiadania rezerw, lecz wymaganie przejrzystej polityki rezerw: organizacja powinna wskazać, dlaczego gromadzi środki, na jaki cel i na jakim poziomie.</w:t>
      </w:r>
    </w:p>
    <w:p w14:paraId="43116C4D" w14:textId="0DFF251B"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lastRenderedPageBreak/>
        <w:t xml:space="preserve">Bariera 4: </w:t>
      </w:r>
      <w:r w:rsidR="00EF746C">
        <w:rPr>
          <w:rFonts w:ascii="Verdana" w:eastAsia="Times New Roman" w:hAnsi="Verdana" w:cs="Times New Roman"/>
          <w:b/>
          <w:bCs/>
          <w:color w:val="000000"/>
          <w:kern w:val="0"/>
          <w:lang w:eastAsia="pl-PL"/>
          <w14:ligatures w14:val="none"/>
        </w:rPr>
        <w:t>B</w:t>
      </w:r>
      <w:r w:rsidRPr="006D1FEC">
        <w:rPr>
          <w:rFonts w:ascii="Verdana" w:eastAsia="Times New Roman" w:hAnsi="Verdana" w:cs="Times New Roman"/>
          <w:b/>
          <w:bCs/>
          <w:color w:val="000000"/>
          <w:kern w:val="0"/>
          <w:lang w:eastAsia="pl-PL"/>
          <w14:ligatures w14:val="none"/>
        </w:rPr>
        <w:t>rak pełnego zestawu produktów finansowych dla NGO.</w:t>
      </w:r>
      <w:r w:rsidRPr="006D1FEC">
        <w:rPr>
          <w:rFonts w:ascii="Verdana" w:eastAsia="Times New Roman" w:hAnsi="Verdana" w:cs="Times New Roman"/>
          <w:color w:val="000000"/>
          <w:kern w:val="0"/>
          <w:lang w:eastAsia="pl-PL"/>
          <w14:ligatures w14:val="none"/>
        </w:rPr>
        <w:br/>
        <w:t>System finansowania NGO jest nadal zdominowany przez dotacje projektowe. Tymczasem różne problemy finansowe wymagają różnych narzędzi. Dotacja jest właściwa dla działań misyjnych i usług społecznych, które nie generują przychodów. Pożyczka pomostowa może być właściwa przy opóźnionej refundacji. Gwarancja może być potrzebna do zabezpieczenia umowy dotacyjnej. Grant instytucjonalny może finansować koszty stałe. Instrument rezultatu może wspierać działania, w których można rzetelnie mierzyć osiągnięcie celu społecznego.</w:t>
      </w:r>
    </w:p>
    <w:p w14:paraId="0E749A58"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Analizy UE potwierdzają potrzebę zróżnicowania narzędzi. ESF+ wskazuje, że instrumenty finansowe, takie jak pożyczki, gwarancje i inwestycje, mogą tworzyć odnawialną pulę środków. </w:t>
      </w:r>
      <w:r w:rsidRPr="00B96DFD">
        <w:rPr>
          <w:rFonts w:ascii="Verdana" w:eastAsia="Times New Roman" w:hAnsi="Verdana" w:cs="Times New Roman"/>
          <w:color w:val="000000"/>
          <w:kern w:val="0"/>
          <w:lang w:eastAsia="pl-PL"/>
          <w14:ligatures w14:val="none"/>
        </w:rPr>
        <w:t>fi-</w:t>
      </w:r>
      <w:proofErr w:type="spellStart"/>
      <w:r w:rsidRPr="00B96DFD">
        <w:rPr>
          <w:rFonts w:ascii="Verdana" w:eastAsia="Times New Roman" w:hAnsi="Verdana" w:cs="Times New Roman"/>
          <w:color w:val="000000"/>
          <w:kern w:val="0"/>
          <w:lang w:eastAsia="pl-PL"/>
          <w14:ligatures w14:val="none"/>
        </w:rPr>
        <w:t>compass</w:t>
      </w:r>
      <w:proofErr w:type="spellEnd"/>
      <w:r w:rsidRPr="006D1FEC">
        <w:rPr>
          <w:rFonts w:ascii="Verdana" w:eastAsia="Times New Roman" w:hAnsi="Verdana" w:cs="Times New Roman"/>
          <w:color w:val="000000"/>
          <w:kern w:val="0"/>
          <w:lang w:eastAsia="pl-PL"/>
          <w14:ligatures w14:val="none"/>
        </w:rPr>
        <w:t xml:space="preserve"> opisuje polskie doświadczenia finansowania ekonomii społecznej jako przykład preferencyjnych pożyczek i wsparcia doradczego dla podmiotów, które mają ograniczony dostęp do tradycyjnego kredytu. BGK wskazuje, że projekt wsparcia podmiotów ekonomii społecznej obejmuje preferencyjne pożyczki i częściowe dopłaty do oprocentowania. Te doświadczenia powinny zostać rozszerzone na szerszy sektor NGO, z zachowaniem zasady, że instrumenty zwrotne nie zastępują dotacji tam, gdzie działalność nie ma charakteru przychodowego.</w:t>
      </w:r>
    </w:p>
    <w:p w14:paraId="2A51E9AD" w14:textId="3E143BF6"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 xml:space="preserve">Bariera 5: </w:t>
      </w:r>
      <w:r w:rsidR="00EF746C">
        <w:rPr>
          <w:rFonts w:ascii="Verdana" w:eastAsia="Times New Roman" w:hAnsi="Verdana" w:cs="Times New Roman"/>
          <w:b/>
          <w:bCs/>
          <w:color w:val="000000"/>
          <w:kern w:val="0"/>
          <w:lang w:eastAsia="pl-PL"/>
          <w14:ligatures w14:val="none"/>
        </w:rPr>
        <w:t>N</w:t>
      </w:r>
      <w:r w:rsidRPr="006D1FEC">
        <w:rPr>
          <w:rFonts w:ascii="Verdana" w:eastAsia="Times New Roman" w:hAnsi="Verdana" w:cs="Times New Roman"/>
          <w:b/>
          <w:bCs/>
          <w:color w:val="000000"/>
          <w:kern w:val="0"/>
          <w:lang w:eastAsia="pl-PL"/>
          <w14:ligatures w14:val="none"/>
        </w:rPr>
        <w:t>iedostateczne wykorzystanie statusu pożytku publicznego i zachęt dla filantropii.</w:t>
      </w:r>
      <w:r w:rsidRPr="006D1FEC">
        <w:rPr>
          <w:rFonts w:ascii="Verdana" w:eastAsia="Times New Roman" w:hAnsi="Verdana" w:cs="Times New Roman"/>
          <w:color w:val="000000"/>
          <w:kern w:val="0"/>
          <w:lang w:eastAsia="pl-PL"/>
          <w14:ligatures w14:val="none"/>
        </w:rPr>
        <w:br/>
        <w:t>Europejskie przykłady pokazują, że status public benefit może być realnym narzędziem finansowym. W Holandii status ANBI wymaga, aby działalność organizacji była niemal całkowicie ukierunkowana na dobro publiczne, zgodnie z zasadą 90%. Status ten wiąże się z preferencjami podatkowymi i wymogami przejrzystości. Dla Polski oznacza to potrzebę przeglądu statusu OPP i innych mechanizmów pożytku publicznego pod kątem ich realnej funkcji finansowej: ulg podatkowych, zachęt dla darczyńców, wiarygodności wobec instytucji finansowych, dostępu do gwarancji oraz ułatwień dla darowizn transgranicznych.</w:t>
      </w:r>
    </w:p>
    <w:p w14:paraId="2E1394D0" w14:textId="455A7BF0" w:rsidR="00BB3815" w:rsidRPr="00EF746C" w:rsidRDefault="006D1FEC" w:rsidP="006D1FEC">
      <w:pPr>
        <w:spacing w:before="100" w:beforeAutospacing="1" w:after="100" w:afterAutospacing="1" w:line="276" w:lineRule="auto"/>
        <w:rPr>
          <w:rFonts w:ascii="Verdana" w:eastAsia="Times New Roman" w:hAnsi="Verdana" w:cs="Times New Roman"/>
          <w:b/>
          <w:bCs/>
          <w:color w:val="000000"/>
          <w:kern w:val="0"/>
          <w:lang w:eastAsia="pl-PL"/>
          <w14:ligatures w14:val="none"/>
        </w:rPr>
      </w:pPr>
      <w:r w:rsidRPr="006D1FEC">
        <w:rPr>
          <w:rFonts w:ascii="Verdana" w:eastAsia="Times New Roman" w:hAnsi="Verdana" w:cs="Times New Roman"/>
          <w:b/>
          <w:bCs/>
          <w:color w:val="000000"/>
          <w:kern w:val="0"/>
          <w:lang w:eastAsia="pl-PL"/>
          <w14:ligatures w14:val="none"/>
        </w:rPr>
        <w:t xml:space="preserve">Bariera 6: </w:t>
      </w:r>
      <w:r w:rsidR="00EF746C">
        <w:rPr>
          <w:rFonts w:ascii="Verdana" w:eastAsia="Times New Roman" w:hAnsi="Verdana" w:cs="Times New Roman"/>
          <w:b/>
          <w:bCs/>
          <w:color w:val="000000"/>
          <w:kern w:val="0"/>
          <w:lang w:eastAsia="pl-PL"/>
          <w14:ligatures w14:val="none"/>
        </w:rPr>
        <w:t>B</w:t>
      </w:r>
      <w:r w:rsidRPr="006D1FEC">
        <w:rPr>
          <w:rFonts w:ascii="Verdana" w:eastAsia="Times New Roman" w:hAnsi="Verdana" w:cs="Times New Roman"/>
          <w:b/>
          <w:bCs/>
          <w:color w:val="000000"/>
          <w:kern w:val="0"/>
          <w:lang w:eastAsia="pl-PL"/>
          <w14:ligatures w14:val="none"/>
        </w:rPr>
        <w:t>rak proporcjonalności</w:t>
      </w:r>
      <w:r w:rsidR="00EF746C">
        <w:rPr>
          <w:rFonts w:ascii="Verdana" w:eastAsia="Times New Roman" w:hAnsi="Verdana" w:cs="Times New Roman"/>
          <w:b/>
          <w:bCs/>
          <w:color w:val="000000"/>
          <w:kern w:val="0"/>
          <w:lang w:eastAsia="pl-PL"/>
          <w14:ligatures w14:val="none"/>
        </w:rPr>
        <w:t xml:space="preserve"> w zakresie obowiązków kontrolnych i sprawozdawczych</w:t>
      </w:r>
      <w:r w:rsidRPr="006D1FEC">
        <w:rPr>
          <w:rFonts w:ascii="Verdana" w:eastAsia="Times New Roman" w:hAnsi="Verdana" w:cs="Times New Roman"/>
          <w:color w:val="000000"/>
          <w:kern w:val="0"/>
          <w:lang w:eastAsia="pl-PL"/>
          <w14:ligatures w14:val="none"/>
        </w:rPr>
        <w:br/>
        <w:t xml:space="preserve">Kosztem finansowania publicznego jest nie tylko wkład własny, ale także obsługa administracyjna: sprawozdawczość, księgowość, kontrole, audyty, archiwizacja dokumentów i rozliczanie kosztów według różnych standardów. Dla małych NGO może to być bariera równie poważna jak brak środków. </w:t>
      </w:r>
    </w:p>
    <w:p w14:paraId="237E652C" w14:textId="21434DFD" w:rsid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lastRenderedPageBreak/>
        <w:t>Dlatego finansowanie stabilności musi obejmować także zasadę proporcjonalności: inne wymogi dla małej organizacji lokalnej realizującej niewielkie zadanie, inne dla dużego operatora usług publicznych.</w:t>
      </w:r>
    </w:p>
    <w:p w14:paraId="516143EB" w14:textId="5ABE706C" w:rsidR="00CC68B2" w:rsidRPr="006D1FEC" w:rsidRDefault="00CC68B2"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CC68B2">
        <w:rPr>
          <w:rFonts w:ascii="Verdana" w:eastAsia="Times New Roman" w:hAnsi="Verdana" w:cs="Times New Roman"/>
          <w:color w:val="000000"/>
          <w:kern w:val="0"/>
          <w:lang w:eastAsia="pl-PL"/>
          <w14:ligatures w14:val="none"/>
        </w:rPr>
        <w:t xml:space="preserve">Przykłady z państw UE pokazują, że zasada proporcjonalności może obejmować także NGO niedotacyjne, ponieważ obowiązki organizacji są często różnicowane według skali działalności, przychodów, zatrudnienia, aktywów i ryzyka, a nie wyłącznie według źródła finansowania. W Belgii stowarzyszenia i fundacje są klasyfikowane jako mikro, małe lub duże, a najmniejsze organizacje mogą korzystać z uproszczonej rachunkowości. W Irlandii rozwijane są stopniowane obowiązki sprawozdawcze dla </w:t>
      </w:r>
      <w:proofErr w:type="spellStart"/>
      <w:r w:rsidRPr="00CC68B2">
        <w:rPr>
          <w:rFonts w:ascii="Verdana" w:eastAsia="Times New Roman" w:hAnsi="Verdana" w:cs="Times New Roman"/>
          <w:color w:val="000000"/>
          <w:kern w:val="0"/>
          <w:lang w:eastAsia="pl-PL"/>
          <w14:ligatures w14:val="none"/>
        </w:rPr>
        <w:t>charities</w:t>
      </w:r>
      <w:proofErr w:type="spellEnd"/>
      <w:r w:rsidRPr="00CC68B2">
        <w:rPr>
          <w:rFonts w:ascii="Verdana" w:eastAsia="Times New Roman" w:hAnsi="Verdana" w:cs="Times New Roman"/>
          <w:color w:val="000000"/>
          <w:kern w:val="0"/>
          <w:lang w:eastAsia="pl-PL"/>
          <w14:ligatures w14:val="none"/>
        </w:rPr>
        <w:t>, z uproszczeniami dla mniejszych organizacji. We Włoszech małe podmioty trzeciego sektora mogą stosować uproszczoną rachunkowość kasową, a we Francji obowiązek audytu pojawia się dopiero po przekroczeniu określonych progów lub przy większym ryzyku finansowym. Holandia pokazuje natomiast, że obowiązki sprawozdawcze fundacji mogą zależeć od rzeczywistej skali działalności ekonomicznej. Te przykłady uzasadniają wprowadzenie w Polsce zasady „</w:t>
      </w:r>
      <w:proofErr w:type="spellStart"/>
      <w:r w:rsidRPr="00CC68B2">
        <w:rPr>
          <w:rFonts w:ascii="Verdana" w:eastAsia="Times New Roman" w:hAnsi="Verdana" w:cs="Times New Roman"/>
          <w:color w:val="000000"/>
          <w:kern w:val="0"/>
          <w:lang w:eastAsia="pl-PL"/>
          <w14:ligatures w14:val="none"/>
        </w:rPr>
        <w:t>Think</w:t>
      </w:r>
      <w:proofErr w:type="spellEnd"/>
      <w:r w:rsidRPr="00CC68B2">
        <w:rPr>
          <w:rFonts w:ascii="Verdana" w:eastAsia="Times New Roman" w:hAnsi="Verdana" w:cs="Times New Roman"/>
          <w:color w:val="000000"/>
          <w:kern w:val="0"/>
          <w:lang w:eastAsia="pl-PL"/>
          <w14:ligatures w14:val="none"/>
        </w:rPr>
        <w:t xml:space="preserve"> Small First for NGO” lub „NGO Test”, czyli obowiązku oceny, czy nowe wymogi prawne, sprawozdawcze, podatkowe i kontrolne nie nakładają nieproporcjonalnych kosztów na małe organizacje społeczne, także wtedy, gdy nie korzystają one z dotacji publicznych.</w:t>
      </w:r>
    </w:p>
    <w:p w14:paraId="42FBFBDC" w14:textId="77777777" w:rsidR="006D1FEC" w:rsidRPr="006D1FEC" w:rsidRDefault="006D1FEC" w:rsidP="006D1FEC">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6D1FEC">
        <w:rPr>
          <w:rFonts w:ascii="Verdana" w:eastAsia="Times New Roman" w:hAnsi="Verdana" w:cs="Times New Roman"/>
          <w:b/>
          <w:bCs/>
          <w:color w:val="000000"/>
          <w:kern w:val="0"/>
          <w:sz w:val="36"/>
          <w:szCs w:val="36"/>
          <w:lang w:eastAsia="pl-PL"/>
          <w14:ligatures w14:val="none"/>
        </w:rPr>
        <w:t>4. Wnioski płynące z diagnozy</w:t>
      </w:r>
    </w:p>
    <w:p w14:paraId="57FA0D93"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1. Stabilność finansowa NGO wymaga przejścia od logiki projektowej do logiki instytucjonalnej.</w:t>
      </w:r>
      <w:r w:rsidRPr="006D1FEC">
        <w:rPr>
          <w:rFonts w:ascii="Verdana" w:eastAsia="Times New Roman" w:hAnsi="Verdana" w:cs="Times New Roman"/>
          <w:color w:val="000000"/>
          <w:kern w:val="0"/>
          <w:lang w:eastAsia="pl-PL"/>
          <w14:ligatures w14:val="none"/>
        </w:rPr>
        <w:br/>
        <w:t>Dane o trudnościach w zdobywaniu funduszy i problemach z płynnością pokazują, że sektor potrzebuje nie tylko większej liczby konkursów, lecz także finansowania kosztów stałych, rezerw, płynności i zdolności organizacyjnej. Koszty administracji, zarządzania, księgowości, dostępności, monitoringu i komunikacji są kosztami misji, a nie dodatkiem do niej.</w:t>
      </w:r>
    </w:p>
    <w:p w14:paraId="2EE79466"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2. Wkład własny powinien być wyjątkiem, a nie domyślnym filtrem dostępu do środków publicznych.</w:t>
      </w:r>
      <w:r w:rsidRPr="006D1FEC">
        <w:rPr>
          <w:rFonts w:ascii="Verdana" w:eastAsia="Times New Roman" w:hAnsi="Verdana" w:cs="Times New Roman"/>
          <w:color w:val="000000"/>
          <w:kern w:val="0"/>
          <w:lang w:eastAsia="pl-PL"/>
          <w14:ligatures w14:val="none"/>
        </w:rPr>
        <w:br/>
        <w:t>Automatyczny wymóg wkładu finansowego pogłębia nierówności między NGO. W zadaniach publicznych należy preferować pełne finansowanie kosztów, a gdy wkład jest uzasadniony, dopuszczać wkład niefinansowy i zwolnienia dla organizacji mniejszych, lokalnych lub działających na rzecz grup w trudniejszej sytuacji.</w:t>
      </w:r>
    </w:p>
    <w:p w14:paraId="0534D849"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lastRenderedPageBreak/>
        <w:t>3. Nadwyżka statutowa i rezerwy powinny być uznane za legalne narzędzia odpowiedzialnego zarządzania.</w:t>
      </w:r>
      <w:r w:rsidRPr="006D1FEC">
        <w:rPr>
          <w:rFonts w:ascii="Verdana" w:eastAsia="Times New Roman" w:hAnsi="Verdana" w:cs="Times New Roman"/>
          <w:color w:val="000000"/>
          <w:kern w:val="0"/>
          <w:lang w:eastAsia="pl-PL"/>
          <w14:ligatures w14:val="none"/>
        </w:rPr>
        <w:br/>
        <w:t>NGO nie powinny dystrybuować zysku prywatnie, ale powinny móc tworzyć racjonalną nadwyżkę przeznaczaną na cele statutowe oraz rezerwy celowe i płynnościowe. Przykłady europejskie pokazują, że właściwym kierunkiem jest przejrzystość, polityka rezerw i zakaz prywatnej dystrybucji, a nie blokowanie każdej nadwyżki.</w:t>
      </w:r>
    </w:p>
    <w:p w14:paraId="575A2A15"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4. NGO potrzebują zróżnicowanych produktów finansowych, nie tylko dotacji projektowych.</w:t>
      </w:r>
      <w:r w:rsidRPr="006D1FEC">
        <w:rPr>
          <w:rFonts w:ascii="Verdana" w:eastAsia="Times New Roman" w:hAnsi="Verdana" w:cs="Times New Roman"/>
          <w:color w:val="000000"/>
          <w:kern w:val="0"/>
          <w:lang w:eastAsia="pl-PL"/>
          <w14:ligatures w14:val="none"/>
        </w:rPr>
        <w:br/>
        <w:t>System powinien obejmować dotacje instytucjonalne, granty pomostowe, granty kryzysowe, pożyczki płynnościowe, pożyczki inwestycyjne, gwarancje, poręczenia, zabezpieczenia umów dotacyjnych i instrumenty mieszane. Produkty te powinny odpowiadać na różne potrzeby: płynność, rozwój, inwestycje, zabezpieczenie ryzyka, prefinansowanie i osiąganie rezultatów społecznych.</w:t>
      </w:r>
    </w:p>
    <w:p w14:paraId="390D3EFF" w14:textId="77777777" w:rsid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 xml:space="preserve">5. Instrumenty zwrotne i </w:t>
      </w:r>
      <w:proofErr w:type="spellStart"/>
      <w:r w:rsidRPr="006D1FEC">
        <w:rPr>
          <w:rFonts w:ascii="Verdana" w:eastAsia="Times New Roman" w:hAnsi="Verdana" w:cs="Times New Roman"/>
          <w:b/>
          <w:bCs/>
          <w:color w:val="000000"/>
          <w:kern w:val="0"/>
          <w:lang w:eastAsia="pl-PL"/>
          <w14:ligatures w14:val="none"/>
        </w:rPr>
        <w:t>rezultatowe</w:t>
      </w:r>
      <w:proofErr w:type="spellEnd"/>
      <w:r w:rsidRPr="006D1FEC">
        <w:rPr>
          <w:rFonts w:ascii="Verdana" w:eastAsia="Times New Roman" w:hAnsi="Verdana" w:cs="Times New Roman"/>
          <w:b/>
          <w:bCs/>
          <w:color w:val="000000"/>
          <w:kern w:val="0"/>
          <w:lang w:eastAsia="pl-PL"/>
          <w14:ligatures w14:val="none"/>
        </w:rPr>
        <w:t xml:space="preserve"> muszą być komplementarne wobec dotacji oraz stosowane z zabezpieczeniami.</w:t>
      </w:r>
      <w:r w:rsidRPr="006D1FEC">
        <w:rPr>
          <w:rFonts w:ascii="Verdana" w:eastAsia="Times New Roman" w:hAnsi="Verdana" w:cs="Times New Roman"/>
          <w:color w:val="000000"/>
          <w:kern w:val="0"/>
          <w:lang w:eastAsia="pl-PL"/>
          <w14:ligatures w14:val="none"/>
        </w:rPr>
        <w:br/>
        <w:t xml:space="preserve">Pożyczki, gwarancje i instrumenty rezultatu nie mogą zastępować finansowania bezzwrotnego w działaniach </w:t>
      </w:r>
      <w:proofErr w:type="spellStart"/>
      <w:r w:rsidRPr="006D1FEC">
        <w:rPr>
          <w:rFonts w:ascii="Verdana" w:eastAsia="Times New Roman" w:hAnsi="Verdana" w:cs="Times New Roman"/>
          <w:color w:val="000000"/>
          <w:kern w:val="0"/>
          <w:lang w:eastAsia="pl-PL"/>
          <w14:ligatures w14:val="none"/>
        </w:rPr>
        <w:t>prawoczłowieczych</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rzeczniczych</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antyprzemocowych</w:t>
      </w:r>
      <w:proofErr w:type="spellEnd"/>
      <w:r w:rsidRPr="006D1FEC">
        <w:rPr>
          <w:rFonts w:ascii="Verdana" w:eastAsia="Times New Roman" w:hAnsi="Verdana" w:cs="Times New Roman"/>
          <w:color w:val="000000"/>
          <w:kern w:val="0"/>
          <w:lang w:eastAsia="pl-PL"/>
          <w14:ligatures w14:val="none"/>
        </w:rPr>
        <w:t xml:space="preserve">, kryzysowych, równościowych i usługach dla osób w najtrudniejszej sytuacji. OECD wskazuje, że </w:t>
      </w:r>
      <w:proofErr w:type="spellStart"/>
      <w:r w:rsidRPr="006D1FEC">
        <w:rPr>
          <w:rFonts w:ascii="Verdana" w:eastAsia="Times New Roman" w:hAnsi="Verdana" w:cs="Times New Roman"/>
          <w:color w:val="000000"/>
          <w:kern w:val="0"/>
          <w:lang w:eastAsia="pl-PL"/>
          <w14:ligatures w14:val="none"/>
        </w:rPr>
        <w:t>social</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impact</w:t>
      </w:r>
      <w:proofErr w:type="spellEnd"/>
      <w:r w:rsidRPr="006D1FEC">
        <w:rPr>
          <w:rFonts w:ascii="Verdana" w:eastAsia="Times New Roman" w:hAnsi="Verdana" w:cs="Times New Roman"/>
          <w:color w:val="000000"/>
          <w:kern w:val="0"/>
          <w:lang w:eastAsia="pl-PL"/>
          <w14:ligatures w14:val="none"/>
        </w:rPr>
        <w:t xml:space="preserve"> </w:t>
      </w:r>
      <w:proofErr w:type="spellStart"/>
      <w:r w:rsidRPr="006D1FEC">
        <w:rPr>
          <w:rFonts w:ascii="Verdana" w:eastAsia="Times New Roman" w:hAnsi="Verdana" w:cs="Times New Roman"/>
          <w:color w:val="000000"/>
          <w:kern w:val="0"/>
          <w:lang w:eastAsia="pl-PL"/>
          <w14:ligatures w14:val="none"/>
        </w:rPr>
        <w:t>bonds</w:t>
      </w:r>
      <w:proofErr w:type="spellEnd"/>
      <w:r w:rsidRPr="006D1FEC">
        <w:rPr>
          <w:rFonts w:ascii="Verdana" w:eastAsia="Times New Roman" w:hAnsi="Verdana" w:cs="Times New Roman"/>
          <w:color w:val="000000"/>
          <w:kern w:val="0"/>
          <w:lang w:eastAsia="pl-PL"/>
          <w14:ligatures w14:val="none"/>
        </w:rPr>
        <w:t xml:space="preserve"> i podobne instrumenty są złożone, wymagają dobrych danych, precyzyjnych wskaźników i mogą generować wysokie koszty transakcyjne. Dlatego powinny być stosowane selektywnie i po ewaluacji pilotaży.</w:t>
      </w:r>
    </w:p>
    <w:p w14:paraId="4FDD3FDD" w14:textId="58D1B218" w:rsidR="00B96DFD" w:rsidRPr="00B96DFD" w:rsidRDefault="00B96DFD" w:rsidP="006D1FEC">
      <w:pPr>
        <w:spacing w:before="100" w:beforeAutospacing="1" w:after="100" w:afterAutospacing="1" w:line="276" w:lineRule="auto"/>
        <w:rPr>
          <w:rFonts w:ascii="Verdana" w:eastAsia="Times New Roman" w:hAnsi="Verdana" w:cs="Times New Roman"/>
          <w:b/>
          <w:bCs/>
          <w:color w:val="000000"/>
          <w:kern w:val="0"/>
          <w:lang w:eastAsia="pl-PL"/>
          <w14:ligatures w14:val="none"/>
        </w:rPr>
      </w:pPr>
      <w:r w:rsidRPr="00B96DFD">
        <w:rPr>
          <w:rFonts w:ascii="Verdana" w:eastAsia="Times New Roman" w:hAnsi="Verdana" w:cs="Times New Roman"/>
          <w:b/>
          <w:bCs/>
          <w:color w:val="000000"/>
          <w:kern w:val="0"/>
          <w:lang w:eastAsia="pl-PL"/>
          <w14:ligatures w14:val="none"/>
        </w:rPr>
        <w:t>6. Obowiązki kontrolne i sprawozdawcze powinny być dostosowane do wielkości organizacji w rozróżnieniu na podmioty mikro/małe/średnie/duże.</w:t>
      </w:r>
    </w:p>
    <w:p w14:paraId="02D6D651" w14:textId="7EE33AA9" w:rsidR="00B96DFD" w:rsidRPr="00B96DFD" w:rsidRDefault="00B96DFD" w:rsidP="00B96DFD">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B96DFD">
        <w:rPr>
          <w:rFonts w:ascii="Verdana" w:eastAsia="Times New Roman" w:hAnsi="Verdana" w:cs="Times New Roman"/>
          <w:color w:val="000000"/>
          <w:kern w:val="0"/>
          <w:lang w:eastAsia="pl-PL"/>
          <w14:ligatures w14:val="none"/>
        </w:rPr>
        <w:t xml:space="preserve">W Belgii organizacje non-profit, fundacje i międzynarodowe organizacje non-profit są klasyfikowane według wielkości, a od tej klasyfikacji zależą obowiązki rachunkowe i sprawozdawcze. Najmniejsze organizacje mogą prowadzić uproszczoną rachunkowość opartą na księdze wpływów i wydatków. Belgijski Bank Narodowy wskazuje, że stowarzyszenia i fundacje mogą być klasyfikowane jako duże, małe lub mikro, a od kryteriów wielkości zależy model sprawozdania. </w:t>
      </w:r>
    </w:p>
    <w:p w14:paraId="3C782739" w14:textId="6D352DEB" w:rsidR="00B96DFD" w:rsidRPr="006D1FEC" w:rsidRDefault="00B96DFD" w:rsidP="00B96DFD">
      <w:pPr>
        <w:spacing w:before="100" w:beforeAutospacing="1" w:after="100" w:afterAutospacing="1" w:line="276" w:lineRule="auto"/>
        <w:rPr>
          <w:rFonts w:ascii="Verdana" w:eastAsia="Times New Roman" w:hAnsi="Verdana" w:cs="Times New Roman"/>
          <w:color w:val="000000"/>
          <w:kern w:val="0"/>
          <w:lang w:eastAsia="pl-PL"/>
          <w14:ligatures w14:val="none"/>
        </w:rPr>
      </w:pPr>
      <w:r>
        <w:rPr>
          <w:rFonts w:ascii="Verdana" w:eastAsia="Times New Roman" w:hAnsi="Verdana" w:cs="Times New Roman"/>
          <w:color w:val="000000"/>
          <w:kern w:val="0"/>
          <w:lang w:eastAsia="pl-PL"/>
          <w14:ligatures w14:val="none"/>
        </w:rPr>
        <w:t>W</w:t>
      </w:r>
      <w:r w:rsidRPr="00B96DFD">
        <w:rPr>
          <w:rFonts w:ascii="Verdana" w:eastAsia="Times New Roman" w:hAnsi="Verdana" w:cs="Times New Roman"/>
          <w:color w:val="000000"/>
          <w:kern w:val="0"/>
          <w:lang w:eastAsia="pl-PL"/>
          <w14:ligatures w14:val="none"/>
        </w:rPr>
        <w:t>arto wprowadzić analogiczne progi dla NGO: mikro, mała, średnia i duża organizacja, z różnymi obowiązkami rachunkowymi, sprawozdawczymi i kontrolnymi — niezależnie od tego, czy organizacja korzysta z dotacji.</w:t>
      </w:r>
    </w:p>
    <w:p w14:paraId="334F3CAD" w14:textId="77777777" w:rsidR="00B96DFD" w:rsidRDefault="00B96DFD" w:rsidP="006D1FEC">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p>
    <w:p w14:paraId="4C368E88" w14:textId="2C2F72AE" w:rsidR="006D1FEC" w:rsidRPr="006D1FEC" w:rsidRDefault="006D1FEC" w:rsidP="006D1FEC">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6D1FEC">
        <w:rPr>
          <w:rFonts w:ascii="Verdana" w:eastAsia="Times New Roman" w:hAnsi="Verdana" w:cs="Times New Roman"/>
          <w:b/>
          <w:bCs/>
          <w:color w:val="000000"/>
          <w:kern w:val="0"/>
          <w:sz w:val="36"/>
          <w:szCs w:val="36"/>
          <w:lang w:eastAsia="pl-PL"/>
          <w14:ligatures w14:val="none"/>
        </w:rPr>
        <w:t>5. Przewidywane efekty działania/interwencji strategicznej oraz wpływ na inne podmioty funkcjonujące w obszarze interwencji</w:t>
      </w:r>
    </w:p>
    <w:p w14:paraId="6406E5B3"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Wdrożenie modułu powinno zwiększyć odporność finansową NGO, poprawić jakość realizacji zadań publicznych i zmniejszyć zależność organizacji od krótkich projektów. Efektem będzie lepsze dopasowanie instrumentów finansowania do realnych potrzeb organizacji.</w:t>
      </w:r>
    </w:p>
    <w:p w14:paraId="77A6EC40"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Efekty dla NGO:</w:t>
      </w:r>
    </w:p>
    <w:p w14:paraId="59C2467D" w14:textId="7EF2EDB1"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Większa </w:t>
      </w:r>
      <w:r w:rsidR="006D1FEC" w:rsidRPr="006D1FEC">
        <w:rPr>
          <w:rFonts w:ascii="Verdana" w:eastAsia="Times New Roman" w:hAnsi="Verdana" w:cs="Times New Roman"/>
          <w:color w:val="000000"/>
          <w:kern w:val="0"/>
          <w:lang w:eastAsia="pl-PL"/>
          <w14:ligatures w14:val="none"/>
        </w:rPr>
        <w:t>dostępność konkursów publicznych dla organizacji bez dużych rezerw;</w:t>
      </w:r>
    </w:p>
    <w:p w14:paraId="0D171130" w14:textId="2F096A21"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Poprawa </w:t>
      </w:r>
      <w:r w:rsidR="006D1FEC" w:rsidRPr="006D1FEC">
        <w:rPr>
          <w:rFonts w:ascii="Verdana" w:eastAsia="Times New Roman" w:hAnsi="Verdana" w:cs="Times New Roman"/>
          <w:color w:val="000000"/>
          <w:kern w:val="0"/>
          <w:lang w:eastAsia="pl-PL"/>
          <w14:ligatures w14:val="none"/>
        </w:rPr>
        <w:t>płynności finansowej;</w:t>
      </w:r>
    </w:p>
    <w:p w14:paraId="48FB27DE" w14:textId="0A1E4A34"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Możliwość </w:t>
      </w:r>
      <w:r w:rsidR="006D1FEC" w:rsidRPr="006D1FEC">
        <w:rPr>
          <w:rFonts w:ascii="Verdana" w:eastAsia="Times New Roman" w:hAnsi="Verdana" w:cs="Times New Roman"/>
          <w:color w:val="000000"/>
          <w:kern w:val="0"/>
          <w:lang w:eastAsia="pl-PL"/>
          <w14:ligatures w14:val="none"/>
        </w:rPr>
        <w:t>pokrywania pełnych kosztów działań statutowych;</w:t>
      </w:r>
    </w:p>
    <w:p w14:paraId="663549C9" w14:textId="00B9272E"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Możliwość </w:t>
      </w:r>
      <w:r w:rsidR="006D1FEC" w:rsidRPr="006D1FEC">
        <w:rPr>
          <w:rFonts w:ascii="Verdana" w:eastAsia="Times New Roman" w:hAnsi="Verdana" w:cs="Times New Roman"/>
          <w:color w:val="000000"/>
          <w:kern w:val="0"/>
          <w:lang w:eastAsia="pl-PL"/>
          <w14:ligatures w14:val="none"/>
        </w:rPr>
        <w:t>tworzenia rezerw statutowych;</w:t>
      </w:r>
    </w:p>
    <w:p w14:paraId="255C9191" w14:textId="32C51E74"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Większa </w:t>
      </w:r>
      <w:r w:rsidR="006D1FEC" w:rsidRPr="006D1FEC">
        <w:rPr>
          <w:rFonts w:ascii="Verdana" w:eastAsia="Times New Roman" w:hAnsi="Verdana" w:cs="Times New Roman"/>
          <w:color w:val="000000"/>
          <w:kern w:val="0"/>
          <w:lang w:eastAsia="pl-PL"/>
          <w14:ligatures w14:val="none"/>
        </w:rPr>
        <w:t>zdolność do utrzymania zespołów, lokali, dostępności i jakości usług;</w:t>
      </w:r>
    </w:p>
    <w:p w14:paraId="6B493094" w14:textId="34D24EC6"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Dostęp </w:t>
      </w:r>
      <w:r w:rsidR="006D1FEC" w:rsidRPr="006D1FEC">
        <w:rPr>
          <w:rFonts w:ascii="Verdana" w:eastAsia="Times New Roman" w:hAnsi="Verdana" w:cs="Times New Roman"/>
          <w:color w:val="000000"/>
          <w:kern w:val="0"/>
          <w:lang w:eastAsia="pl-PL"/>
          <w14:ligatures w14:val="none"/>
        </w:rPr>
        <w:t>do pożyczek pomostowych, gwarancji i produktów zabezpieczających umowy;</w:t>
      </w:r>
    </w:p>
    <w:p w14:paraId="71D993DA" w14:textId="380466C2"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Rozwój </w:t>
      </w:r>
      <w:r w:rsidR="006D1FEC" w:rsidRPr="006D1FEC">
        <w:rPr>
          <w:rFonts w:ascii="Verdana" w:eastAsia="Times New Roman" w:hAnsi="Verdana" w:cs="Times New Roman"/>
          <w:color w:val="000000"/>
          <w:kern w:val="0"/>
          <w:lang w:eastAsia="pl-PL"/>
          <w14:ligatures w14:val="none"/>
        </w:rPr>
        <w:t>odpłatnych działań statutowych bez utraty charakteru non-profit;</w:t>
      </w:r>
    </w:p>
    <w:p w14:paraId="4309F63A" w14:textId="03C544A5" w:rsidR="006D1FEC" w:rsidRPr="006D1FEC" w:rsidRDefault="00E866A8" w:rsidP="006D1FEC">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Zmniejszenie </w:t>
      </w:r>
      <w:r w:rsidR="006D1FEC" w:rsidRPr="006D1FEC">
        <w:rPr>
          <w:rFonts w:ascii="Verdana" w:eastAsia="Times New Roman" w:hAnsi="Verdana" w:cs="Times New Roman"/>
          <w:color w:val="000000"/>
          <w:kern w:val="0"/>
          <w:lang w:eastAsia="pl-PL"/>
          <w14:ligatures w14:val="none"/>
        </w:rPr>
        <w:t>ryzyka przerwania działań z powodu opóźnień płatności lub braku wkładu własnego.</w:t>
      </w:r>
    </w:p>
    <w:p w14:paraId="7037D56D"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Efekty dla administracji publicznej:</w:t>
      </w:r>
    </w:p>
    <w:p w14:paraId="2903A5F1" w14:textId="599E0731" w:rsidR="006D1FEC" w:rsidRPr="006D1FEC" w:rsidRDefault="00E866A8" w:rsidP="006D1FEC">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Większa </w:t>
      </w:r>
      <w:r w:rsidR="006D1FEC" w:rsidRPr="006D1FEC">
        <w:rPr>
          <w:rFonts w:ascii="Verdana" w:eastAsia="Times New Roman" w:hAnsi="Verdana" w:cs="Times New Roman"/>
          <w:color w:val="000000"/>
          <w:kern w:val="0"/>
          <w:lang w:eastAsia="pl-PL"/>
          <w14:ligatures w14:val="none"/>
        </w:rPr>
        <w:t>liczba NGO zdolnych do realizacji zadań publicznych;</w:t>
      </w:r>
    </w:p>
    <w:p w14:paraId="0C01E53F" w14:textId="31EB9228" w:rsidR="006D1FEC" w:rsidRPr="006D1FEC" w:rsidRDefault="00E866A8" w:rsidP="006D1FEC">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Bardziej </w:t>
      </w:r>
      <w:r w:rsidR="006D1FEC" w:rsidRPr="006D1FEC">
        <w:rPr>
          <w:rFonts w:ascii="Verdana" w:eastAsia="Times New Roman" w:hAnsi="Verdana" w:cs="Times New Roman"/>
          <w:color w:val="000000"/>
          <w:kern w:val="0"/>
          <w:lang w:eastAsia="pl-PL"/>
          <w14:ligatures w14:val="none"/>
        </w:rPr>
        <w:t>realistyczne budżety zadań;</w:t>
      </w:r>
    </w:p>
    <w:p w14:paraId="3FC45B6F" w14:textId="4644D962" w:rsidR="006D1FEC" w:rsidRPr="006D1FEC" w:rsidRDefault="00E866A8" w:rsidP="006D1FEC">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Mniejsze </w:t>
      </w:r>
      <w:r w:rsidR="006D1FEC" w:rsidRPr="006D1FEC">
        <w:rPr>
          <w:rFonts w:ascii="Verdana" w:eastAsia="Times New Roman" w:hAnsi="Verdana" w:cs="Times New Roman"/>
          <w:color w:val="000000"/>
          <w:kern w:val="0"/>
          <w:lang w:eastAsia="pl-PL"/>
          <w14:ligatures w14:val="none"/>
        </w:rPr>
        <w:t>ryzyko przerwania usług z powodu utraty płynności przez organizację;</w:t>
      </w:r>
    </w:p>
    <w:p w14:paraId="6AF477FB" w14:textId="734D347C" w:rsidR="006D1FEC" w:rsidRPr="006D1FEC" w:rsidRDefault="00E866A8" w:rsidP="006D1FEC">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Lepsze </w:t>
      </w:r>
      <w:r w:rsidR="006D1FEC" w:rsidRPr="006D1FEC">
        <w:rPr>
          <w:rFonts w:ascii="Verdana" w:eastAsia="Times New Roman" w:hAnsi="Verdana" w:cs="Times New Roman"/>
          <w:color w:val="000000"/>
          <w:kern w:val="0"/>
          <w:lang w:eastAsia="pl-PL"/>
          <w14:ligatures w14:val="none"/>
        </w:rPr>
        <w:t>wdrażanie zasady pomocniczości i partnerstwa;</w:t>
      </w:r>
    </w:p>
    <w:p w14:paraId="3FABBD0A" w14:textId="77C68865" w:rsidR="006D1FEC" w:rsidRPr="006D1FEC" w:rsidRDefault="00E866A8" w:rsidP="006D1FEC">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Możliwość </w:t>
      </w:r>
      <w:r w:rsidR="006D1FEC" w:rsidRPr="006D1FEC">
        <w:rPr>
          <w:rFonts w:ascii="Verdana" w:eastAsia="Times New Roman" w:hAnsi="Verdana" w:cs="Times New Roman"/>
          <w:color w:val="000000"/>
          <w:kern w:val="0"/>
          <w:lang w:eastAsia="pl-PL"/>
          <w14:ligatures w14:val="none"/>
        </w:rPr>
        <w:t>stosowania instrumentów rezultatu w wybranych obszarach, przy zachowaniu kontroli jakości;</w:t>
      </w:r>
    </w:p>
    <w:p w14:paraId="3A7FEED7" w14:textId="34F6195F" w:rsidR="006D1FEC" w:rsidRPr="006D1FEC" w:rsidRDefault="00E866A8" w:rsidP="006D1FEC">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Lepsza </w:t>
      </w:r>
      <w:r w:rsidR="006D1FEC" w:rsidRPr="006D1FEC">
        <w:rPr>
          <w:rFonts w:ascii="Verdana" w:eastAsia="Times New Roman" w:hAnsi="Verdana" w:cs="Times New Roman"/>
          <w:color w:val="000000"/>
          <w:kern w:val="0"/>
          <w:lang w:eastAsia="pl-PL"/>
          <w14:ligatures w14:val="none"/>
        </w:rPr>
        <w:t>efektywność wydatkowania środków dzięki dopasowaniu narzędzia finansowego do charakteru zadania.</w:t>
      </w:r>
    </w:p>
    <w:p w14:paraId="58FA8F83"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lastRenderedPageBreak/>
        <w:t>Efekty dla mieszkańców i odbiorców działań społecznych:</w:t>
      </w:r>
    </w:p>
    <w:p w14:paraId="1F607387" w14:textId="66B5C3ED" w:rsidR="006D1FEC" w:rsidRPr="006D1FEC" w:rsidRDefault="00E866A8" w:rsidP="006D1FEC">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Większa </w:t>
      </w:r>
      <w:r w:rsidR="006D1FEC" w:rsidRPr="006D1FEC">
        <w:rPr>
          <w:rFonts w:ascii="Verdana" w:eastAsia="Times New Roman" w:hAnsi="Verdana" w:cs="Times New Roman"/>
          <w:color w:val="000000"/>
          <w:kern w:val="0"/>
          <w:lang w:eastAsia="pl-PL"/>
          <w14:ligatures w14:val="none"/>
        </w:rPr>
        <w:t>ciągłość usług społecznych;</w:t>
      </w:r>
    </w:p>
    <w:p w14:paraId="523CBAD6" w14:textId="7D154328" w:rsidR="006D1FEC" w:rsidRPr="006D1FEC" w:rsidRDefault="00E866A8" w:rsidP="006D1FEC">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Stabilniejsze </w:t>
      </w:r>
      <w:r w:rsidR="006D1FEC" w:rsidRPr="006D1FEC">
        <w:rPr>
          <w:rFonts w:ascii="Verdana" w:eastAsia="Times New Roman" w:hAnsi="Verdana" w:cs="Times New Roman"/>
          <w:color w:val="000000"/>
          <w:kern w:val="0"/>
          <w:lang w:eastAsia="pl-PL"/>
          <w14:ligatures w14:val="none"/>
        </w:rPr>
        <w:t>wsparcie dla grup w trudniejszej sytuacji;</w:t>
      </w:r>
    </w:p>
    <w:p w14:paraId="7ED897CD" w14:textId="2787437F" w:rsidR="006D1FEC" w:rsidRPr="006D1FEC" w:rsidRDefault="00E866A8" w:rsidP="006D1FEC">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Większa </w:t>
      </w:r>
      <w:r w:rsidR="006D1FEC" w:rsidRPr="006D1FEC">
        <w:rPr>
          <w:rFonts w:ascii="Verdana" w:eastAsia="Times New Roman" w:hAnsi="Verdana" w:cs="Times New Roman"/>
          <w:color w:val="000000"/>
          <w:kern w:val="0"/>
          <w:lang w:eastAsia="pl-PL"/>
          <w14:ligatures w14:val="none"/>
        </w:rPr>
        <w:t>dostępność działań w mniejszych miejscowościach;</w:t>
      </w:r>
    </w:p>
    <w:p w14:paraId="5644A189" w14:textId="1264D12E" w:rsidR="006D1FEC" w:rsidRPr="006D1FEC" w:rsidRDefault="00E866A8" w:rsidP="006D1FEC">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Poprawa </w:t>
      </w:r>
      <w:r w:rsidR="006D1FEC" w:rsidRPr="006D1FEC">
        <w:rPr>
          <w:rFonts w:ascii="Verdana" w:eastAsia="Times New Roman" w:hAnsi="Verdana" w:cs="Times New Roman"/>
          <w:color w:val="000000"/>
          <w:kern w:val="0"/>
          <w:lang w:eastAsia="pl-PL"/>
          <w14:ligatures w14:val="none"/>
        </w:rPr>
        <w:t>jakości działań dzięki finansowaniu kosztów organizacyjnych;</w:t>
      </w:r>
    </w:p>
    <w:p w14:paraId="21F5ED99" w14:textId="27543E54" w:rsidR="006D1FEC" w:rsidRPr="006D1FEC" w:rsidRDefault="00E866A8" w:rsidP="006D1FEC">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Większa </w:t>
      </w:r>
      <w:r w:rsidR="006D1FEC" w:rsidRPr="006D1FEC">
        <w:rPr>
          <w:rFonts w:ascii="Verdana" w:eastAsia="Times New Roman" w:hAnsi="Verdana" w:cs="Times New Roman"/>
          <w:color w:val="000000"/>
          <w:kern w:val="0"/>
          <w:lang w:eastAsia="pl-PL"/>
          <w14:ligatures w14:val="none"/>
        </w:rPr>
        <w:t>odporność lokalnych społeczności na kryzysy.</w:t>
      </w:r>
    </w:p>
    <w:p w14:paraId="72A8BE7A"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Wpływ na rynek finansowy i instytucje pośredniczące:</w:t>
      </w:r>
    </w:p>
    <w:p w14:paraId="4EA03B7E"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Moduł może stworzyć impuls do rozwoju wyspecjalizowanych produktów finansowych dla sektora non-profit. Banki publiczne, fundusze pożyczkowe, operatorzy funduszy europejskich, instytucje ekonomii społecznej, fundacje </w:t>
      </w:r>
      <w:proofErr w:type="spellStart"/>
      <w:r w:rsidRPr="006D1FEC">
        <w:rPr>
          <w:rFonts w:ascii="Verdana" w:eastAsia="Times New Roman" w:hAnsi="Verdana" w:cs="Times New Roman"/>
          <w:color w:val="000000"/>
          <w:kern w:val="0"/>
          <w:lang w:eastAsia="pl-PL"/>
          <w14:ligatures w14:val="none"/>
        </w:rPr>
        <w:t>grantodawcze</w:t>
      </w:r>
      <w:proofErr w:type="spellEnd"/>
      <w:r w:rsidRPr="006D1FEC">
        <w:rPr>
          <w:rFonts w:ascii="Verdana" w:eastAsia="Times New Roman" w:hAnsi="Verdana" w:cs="Times New Roman"/>
          <w:color w:val="000000"/>
          <w:kern w:val="0"/>
          <w:lang w:eastAsia="pl-PL"/>
          <w14:ligatures w14:val="none"/>
        </w:rPr>
        <w:t xml:space="preserve"> i inwestorzy społeczni mogą rozwijać produkty dopasowane do NGO: </w:t>
      </w:r>
      <w:proofErr w:type="spellStart"/>
      <w:r w:rsidRPr="006D1FEC">
        <w:rPr>
          <w:rFonts w:ascii="Verdana" w:eastAsia="Times New Roman" w:hAnsi="Verdana" w:cs="Times New Roman"/>
          <w:color w:val="000000"/>
          <w:kern w:val="0"/>
          <w:lang w:eastAsia="pl-PL"/>
          <w14:ligatures w14:val="none"/>
        </w:rPr>
        <w:t>niskomarżowe</w:t>
      </w:r>
      <w:proofErr w:type="spellEnd"/>
      <w:r w:rsidRPr="006D1FEC">
        <w:rPr>
          <w:rFonts w:ascii="Verdana" w:eastAsia="Times New Roman" w:hAnsi="Verdana" w:cs="Times New Roman"/>
          <w:color w:val="000000"/>
          <w:kern w:val="0"/>
          <w:lang w:eastAsia="pl-PL"/>
          <w14:ligatures w14:val="none"/>
        </w:rPr>
        <w:t>, proste, połączone z doradztwem, oparte na ocenie misji i stabilności instytucjonalnej, a nie wyłącznie na zabezpieczeniach majątkowych.</w:t>
      </w:r>
    </w:p>
    <w:p w14:paraId="74171D46"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Interwencja powinna zapobiegać nadmiernemu zadłużaniu NGO. Produkty zwrotne muszą być dobrowolne, proporcjonalne i powiązane z realną zdolnością spłaty. Nie mogą zastępować dotacji w obszarach, w których finansowanie bezzwrotne jest niezbędne z uwagi na dobro publiczne, prawa człowieka, rzecznictwo, przeciwdziałanie przemocy, ubóstwo, wykluczenie lub nierówności.</w:t>
      </w:r>
    </w:p>
    <w:p w14:paraId="35CAF1BA" w14:textId="77777777" w:rsidR="006D1FEC" w:rsidRPr="006D1FEC" w:rsidRDefault="006D1FEC" w:rsidP="006D1FEC">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6D1FEC">
        <w:rPr>
          <w:rFonts w:ascii="Verdana" w:eastAsia="Times New Roman" w:hAnsi="Verdana" w:cs="Times New Roman"/>
          <w:b/>
          <w:bCs/>
          <w:color w:val="000000"/>
          <w:kern w:val="0"/>
          <w:sz w:val="36"/>
          <w:szCs w:val="36"/>
          <w:lang w:eastAsia="pl-PL"/>
          <w14:ligatures w14:val="none"/>
        </w:rPr>
        <w:t>6. Podmioty odpowiedzialne za wdrożenie działania i źródła jego finansowania</w:t>
      </w:r>
    </w:p>
    <w:p w14:paraId="45A84A9B"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Podmioty odpowiedzialne za wdrożenie działania:</w:t>
      </w:r>
    </w:p>
    <w:p w14:paraId="6442F492" w14:textId="77777777"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Kancelaria Prezesa Rady Ministrów lub minister właściwy do spraw społeczeństwa obywatelskiego</w:t>
      </w:r>
      <w:r w:rsidRPr="006D1FEC">
        <w:rPr>
          <w:rFonts w:ascii="Verdana" w:eastAsia="Times New Roman" w:hAnsi="Verdana" w:cs="Times New Roman"/>
          <w:color w:val="000000"/>
          <w:kern w:val="0"/>
          <w:lang w:eastAsia="pl-PL"/>
          <w14:ligatures w14:val="none"/>
        </w:rPr>
        <w:t> – koordynacja modułu w ramach Strategii Rozwoju Społeczeństwa Obywatelskiego.</w:t>
      </w:r>
    </w:p>
    <w:p w14:paraId="77AD8430" w14:textId="2921164D"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Komitet do spraw Pożytku Publicznego</w:t>
      </w:r>
      <w:r w:rsidRPr="006D1FEC">
        <w:rPr>
          <w:rFonts w:ascii="Verdana" w:eastAsia="Times New Roman" w:hAnsi="Verdana" w:cs="Times New Roman"/>
          <w:color w:val="000000"/>
          <w:kern w:val="0"/>
          <w:lang w:eastAsia="pl-PL"/>
          <w14:ligatures w14:val="none"/>
        </w:rPr>
        <w:t> </w:t>
      </w:r>
    </w:p>
    <w:p w14:paraId="56B52F01" w14:textId="72079D0E"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Narodowy Instytut Wolności – Centrum Rozwoju Społeczeństwa Obywatelskiego</w:t>
      </w:r>
      <w:r w:rsidRPr="006D1FEC">
        <w:rPr>
          <w:rFonts w:ascii="Verdana" w:eastAsia="Times New Roman" w:hAnsi="Verdana" w:cs="Times New Roman"/>
          <w:color w:val="000000"/>
          <w:kern w:val="0"/>
          <w:lang w:eastAsia="pl-PL"/>
          <w14:ligatures w14:val="none"/>
        </w:rPr>
        <w:t> </w:t>
      </w:r>
    </w:p>
    <w:p w14:paraId="7FD92615" w14:textId="77777777"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Ministerstwo Finansów</w:t>
      </w:r>
      <w:r w:rsidRPr="006D1FEC">
        <w:rPr>
          <w:rFonts w:ascii="Verdana" w:eastAsia="Times New Roman" w:hAnsi="Verdana" w:cs="Times New Roman"/>
          <w:color w:val="000000"/>
          <w:kern w:val="0"/>
          <w:lang w:eastAsia="pl-PL"/>
          <w14:ligatures w14:val="none"/>
        </w:rPr>
        <w:t> – analiza podatkowa, rachunkowa i sprawozdawcza nadwyżki statutowej, rezerw, darowizn transgranicznych i instrumentów gwarancyjnych.</w:t>
      </w:r>
    </w:p>
    <w:p w14:paraId="4896E2F9" w14:textId="418FF156"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lastRenderedPageBreak/>
        <w:t>Ministerstwo Funduszy i Polityki Regionalnej</w:t>
      </w:r>
      <w:r w:rsidRPr="006D1FEC">
        <w:rPr>
          <w:rFonts w:ascii="Verdana" w:eastAsia="Times New Roman" w:hAnsi="Verdana" w:cs="Times New Roman"/>
          <w:color w:val="000000"/>
          <w:kern w:val="0"/>
          <w:lang w:eastAsia="pl-PL"/>
          <w14:ligatures w14:val="none"/>
        </w:rPr>
        <w:t> – włączenie instrumentów finansowych dla NGO do programów krajowych, regionalnych</w:t>
      </w:r>
      <w:r w:rsidR="00E866A8">
        <w:rPr>
          <w:rFonts w:ascii="Verdana" w:eastAsia="Times New Roman" w:hAnsi="Verdana" w:cs="Times New Roman"/>
          <w:color w:val="000000"/>
          <w:kern w:val="0"/>
          <w:lang w:eastAsia="pl-PL"/>
          <w14:ligatures w14:val="none"/>
        </w:rPr>
        <w:t xml:space="preserve"> w ramach funduszy UE</w:t>
      </w:r>
    </w:p>
    <w:p w14:paraId="5F8E4126" w14:textId="77777777"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Bank Gospodarstwa Krajowego i instytucje finansujące ekonomię społeczną</w:t>
      </w:r>
      <w:r w:rsidRPr="006D1FEC">
        <w:rPr>
          <w:rFonts w:ascii="Verdana" w:eastAsia="Times New Roman" w:hAnsi="Verdana" w:cs="Times New Roman"/>
          <w:color w:val="000000"/>
          <w:kern w:val="0"/>
          <w:lang w:eastAsia="pl-PL"/>
          <w14:ligatures w14:val="none"/>
        </w:rPr>
        <w:t> – projektowanie pożyczek, gwarancji, poręczeń, produktów pomostowych i funduszu zabezpieczeń umów dotacyjnych dla NGO.</w:t>
      </w:r>
    </w:p>
    <w:p w14:paraId="6F662EB6" w14:textId="77777777"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Samorządy województw, powiatów i gmin</w:t>
      </w:r>
      <w:r w:rsidRPr="006D1FEC">
        <w:rPr>
          <w:rFonts w:ascii="Verdana" w:eastAsia="Times New Roman" w:hAnsi="Verdana" w:cs="Times New Roman"/>
          <w:color w:val="000000"/>
          <w:kern w:val="0"/>
          <w:lang w:eastAsia="pl-PL"/>
          <w14:ligatures w14:val="none"/>
        </w:rPr>
        <w:t> – ograniczanie wymogu wkładu własnego, wdrażanie lokalnych instrumentów pomostowych i gwarancyjnych oraz finansowanie pełnych kosztów zadań publicznych.</w:t>
      </w:r>
    </w:p>
    <w:p w14:paraId="3E1AE923" w14:textId="77777777" w:rsidR="006D1FEC" w:rsidRPr="006D1FEC" w:rsidRDefault="006D1FEC" w:rsidP="006D1FEC">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Rada Działalności Pożytku Publicznego i wojewódzkie rady działalności pożytku publicznego</w:t>
      </w:r>
      <w:r w:rsidRPr="006D1FEC">
        <w:rPr>
          <w:rFonts w:ascii="Verdana" w:eastAsia="Times New Roman" w:hAnsi="Verdana" w:cs="Times New Roman"/>
          <w:color w:val="000000"/>
          <w:kern w:val="0"/>
          <w:lang w:eastAsia="pl-PL"/>
          <w14:ligatures w14:val="none"/>
        </w:rPr>
        <w:t> – konsultowanie standardów, monitorowanie skutków i ocena praktyk konkursowych.</w:t>
      </w:r>
    </w:p>
    <w:p w14:paraId="1FB09F80" w14:textId="77777777" w:rsidR="00B96DFD" w:rsidRDefault="006D1FEC" w:rsidP="00B96DFD">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 xml:space="preserve">Federacje i </w:t>
      </w:r>
      <w:r w:rsidR="00B96DFD">
        <w:rPr>
          <w:rFonts w:ascii="Verdana" w:eastAsia="Times New Roman" w:hAnsi="Verdana" w:cs="Times New Roman"/>
          <w:b/>
          <w:bCs/>
          <w:color w:val="000000"/>
          <w:kern w:val="0"/>
          <w:lang w:eastAsia="pl-PL"/>
          <w14:ligatures w14:val="none"/>
        </w:rPr>
        <w:t>związki</w:t>
      </w:r>
      <w:r w:rsidRPr="006D1FEC">
        <w:rPr>
          <w:rFonts w:ascii="Verdana" w:eastAsia="Times New Roman" w:hAnsi="Verdana" w:cs="Times New Roman"/>
          <w:b/>
          <w:bCs/>
          <w:color w:val="000000"/>
          <w:kern w:val="0"/>
          <w:lang w:eastAsia="pl-PL"/>
          <w14:ligatures w14:val="none"/>
        </w:rPr>
        <w:t xml:space="preserve"> NGO</w:t>
      </w:r>
      <w:r w:rsidRPr="006D1FEC">
        <w:rPr>
          <w:rFonts w:ascii="Verdana" w:eastAsia="Times New Roman" w:hAnsi="Verdana" w:cs="Times New Roman"/>
          <w:color w:val="000000"/>
          <w:kern w:val="0"/>
          <w:lang w:eastAsia="pl-PL"/>
          <w14:ligatures w14:val="none"/>
        </w:rPr>
        <w:t> – diagnozowanie potrzeb, testowanie produktów, monitoring barier, upowszechnianie wiedzy finansowej i przeciwdziałanie nadmiernemu zadłużaniu organizacji.</w:t>
      </w:r>
    </w:p>
    <w:p w14:paraId="1A142F1F" w14:textId="165D9883" w:rsidR="006D1FEC" w:rsidRPr="00B96DFD" w:rsidRDefault="006D1FEC" w:rsidP="00B96DFD">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B96DFD">
        <w:rPr>
          <w:rFonts w:ascii="Verdana" w:eastAsia="Times New Roman" w:hAnsi="Verdana" w:cs="Times New Roman"/>
          <w:b/>
          <w:bCs/>
          <w:color w:val="000000"/>
          <w:kern w:val="0"/>
          <w:lang w:eastAsia="pl-PL"/>
          <w14:ligatures w14:val="none"/>
        </w:rPr>
        <w:t xml:space="preserve">Fundacje </w:t>
      </w:r>
      <w:proofErr w:type="spellStart"/>
      <w:r w:rsidRPr="00B96DFD">
        <w:rPr>
          <w:rFonts w:ascii="Verdana" w:eastAsia="Times New Roman" w:hAnsi="Verdana" w:cs="Times New Roman"/>
          <w:b/>
          <w:bCs/>
          <w:color w:val="000000"/>
          <w:kern w:val="0"/>
          <w:lang w:eastAsia="pl-PL"/>
          <w14:ligatures w14:val="none"/>
        </w:rPr>
        <w:t>grantodawcze</w:t>
      </w:r>
      <w:proofErr w:type="spellEnd"/>
      <w:r w:rsidRPr="00B96DFD">
        <w:rPr>
          <w:rFonts w:ascii="Verdana" w:eastAsia="Times New Roman" w:hAnsi="Verdana" w:cs="Times New Roman"/>
          <w:b/>
          <w:bCs/>
          <w:color w:val="000000"/>
          <w:kern w:val="0"/>
          <w:lang w:eastAsia="pl-PL"/>
          <w14:ligatures w14:val="none"/>
        </w:rPr>
        <w:t>, banki etyczne, fundusze pożyczkowe i inwestorzy społeczni</w:t>
      </w:r>
      <w:r w:rsidRPr="00B96DFD">
        <w:rPr>
          <w:rFonts w:ascii="Verdana" w:eastAsia="Times New Roman" w:hAnsi="Verdana" w:cs="Times New Roman"/>
          <w:color w:val="000000"/>
          <w:kern w:val="0"/>
          <w:lang w:eastAsia="pl-PL"/>
          <w14:ligatures w14:val="none"/>
        </w:rPr>
        <w:t xml:space="preserve"> – rozwój instrumentów mieszanych, gwarancyjnych i </w:t>
      </w:r>
      <w:proofErr w:type="spellStart"/>
      <w:r w:rsidRPr="00B96DFD">
        <w:rPr>
          <w:rFonts w:ascii="Verdana" w:eastAsia="Times New Roman" w:hAnsi="Verdana" w:cs="Times New Roman"/>
          <w:color w:val="000000"/>
          <w:kern w:val="0"/>
          <w:lang w:eastAsia="pl-PL"/>
          <w14:ligatures w14:val="none"/>
        </w:rPr>
        <w:t>rezultatowych</w:t>
      </w:r>
      <w:proofErr w:type="spellEnd"/>
      <w:r w:rsidRPr="00B96DFD">
        <w:rPr>
          <w:rFonts w:ascii="Verdana" w:eastAsia="Times New Roman" w:hAnsi="Verdana" w:cs="Times New Roman"/>
          <w:color w:val="000000"/>
          <w:kern w:val="0"/>
          <w:lang w:eastAsia="pl-PL"/>
          <w14:ligatures w14:val="none"/>
        </w:rPr>
        <w:t>.</w:t>
      </w:r>
    </w:p>
    <w:p w14:paraId="13606F30"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Źródła finansowania i instrumenty:</w:t>
      </w:r>
    </w:p>
    <w:p w14:paraId="75963D61" w14:textId="77777777" w:rsidR="006D1FEC" w:rsidRPr="006D1FEC" w:rsidRDefault="006D1FEC" w:rsidP="006D1FEC">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budżet państwa;</w:t>
      </w:r>
    </w:p>
    <w:p w14:paraId="1FBDB43E" w14:textId="77777777" w:rsidR="006D1FEC" w:rsidRPr="006D1FEC" w:rsidRDefault="006D1FEC" w:rsidP="006D1FEC">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programy NIW-CRSO, w tym PROO i NOWEFIO lub ich następcy;</w:t>
      </w:r>
    </w:p>
    <w:p w14:paraId="590D209C" w14:textId="78DE312C" w:rsidR="006D1FEC" w:rsidRPr="006D1FEC" w:rsidRDefault="006D1FEC" w:rsidP="00B96DFD">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Fundusze Europejskie</w:t>
      </w:r>
    </w:p>
    <w:p w14:paraId="67A8F5C8" w14:textId="77777777" w:rsidR="006D1FEC" w:rsidRPr="006D1FEC" w:rsidRDefault="006D1FEC" w:rsidP="006D1FEC">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budżety jednostek samorządu terytorialnego;</w:t>
      </w:r>
    </w:p>
    <w:p w14:paraId="57E9F630" w14:textId="7F11640F" w:rsidR="006D1FEC" w:rsidRPr="006D1FEC" w:rsidRDefault="006D1FEC" w:rsidP="006D1FEC">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fundusze pożyczkowe i gwarancyjne;</w:t>
      </w:r>
    </w:p>
    <w:p w14:paraId="459664EE" w14:textId="77777777" w:rsidR="006D1FEC" w:rsidRPr="006D1FEC" w:rsidRDefault="006D1FEC" w:rsidP="006D1FEC">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fundacje prywatne i filantropia instytucjonalna;</w:t>
      </w:r>
    </w:p>
    <w:p w14:paraId="35AAE1F7" w14:textId="77777777" w:rsidR="006D1FEC" w:rsidRPr="006D1FEC" w:rsidRDefault="006D1FEC" w:rsidP="006D1FEC">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środki z instrumentów mieszanych łączących dotację, pożyczkę, gwarancję i doradztwo.</w:t>
      </w:r>
    </w:p>
    <w:p w14:paraId="77ABA2F5"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Proponowane produkty finansowe:</w:t>
      </w:r>
    </w:p>
    <w:p w14:paraId="0E97963B"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dotacje instytucjonalne</w:t>
      </w:r>
      <w:r w:rsidRPr="006D1FEC">
        <w:rPr>
          <w:rFonts w:ascii="Verdana" w:eastAsia="Times New Roman" w:hAnsi="Verdana" w:cs="Times New Roman"/>
          <w:color w:val="000000"/>
          <w:kern w:val="0"/>
          <w:lang w:eastAsia="pl-PL"/>
          <w14:ligatures w14:val="none"/>
        </w:rPr>
        <w:t> – finansowanie kosztów stałych i rozwoju organizacji;</w:t>
      </w:r>
    </w:p>
    <w:p w14:paraId="686B0742"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granty pomostowe</w:t>
      </w:r>
      <w:r w:rsidRPr="006D1FEC">
        <w:rPr>
          <w:rFonts w:ascii="Verdana" w:eastAsia="Times New Roman" w:hAnsi="Verdana" w:cs="Times New Roman"/>
          <w:color w:val="000000"/>
          <w:kern w:val="0"/>
          <w:lang w:eastAsia="pl-PL"/>
          <w14:ligatures w14:val="none"/>
        </w:rPr>
        <w:t> – finansowanie okresu między poniesieniem kosztu a refundacją;</w:t>
      </w:r>
    </w:p>
    <w:p w14:paraId="6D026729"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granty kryzysowe</w:t>
      </w:r>
      <w:r w:rsidRPr="006D1FEC">
        <w:rPr>
          <w:rFonts w:ascii="Verdana" w:eastAsia="Times New Roman" w:hAnsi="Verdana" w:cs="Times New Roman"/>
          <w:color w:val="000000"/>
          <w:kern w:val="0"/>
          <w:lang w:eastAsia="pl-PL"/>
          <w14:ligatures w14:val="none"/>
        </w:rPr>
        <w:t> – szybkie wsparcie płynności w sytuacjach nagłych;</w:t>
      </w:r>
    </w:p>
    <w:p w14:paraId="103C7739"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granty na rezerwy celowe</w:t>
      </w:r>
      <w:r w:rsidRPr="006D1FEC">
        <w:rPr>
          <w:rFonts w:ascii="Verdana" w:eastAsia="Times New Roman" w:hAnsi="Verdana" w:cs="Times New Roman"/>
          <w:color w:val="000000"/>
          <w:kern w:val="0"/>
          <w:lang w:eastAsia="pl-PL"/>
          <w14:ligatures w14:val="none"/>
        </w:rPr>
        <w:t> – wsparcie budowania rezerw na płynność, dostępność, utrzymanie zespołu i ryzyka;</w:t>
      </w:r>
    </w:p>
    <w:p w14:paraId="7AB68BC3"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lastRenderedPageBreak/>
        <w:t>pożyczki pomostowe</w:t>
      </w:r>
      <w:r w:rsidRPr="006D1FEC">
        <w:rPr>
          <w:rFonts w:ascii="Verdana" w:eastAsia="Times New Roman" w:hAnsi="Verdana" w:cs="Times New Roman"/>
          <w:color w:val="000000"/>
          <w:kern w:val="0"/>
          <w:lang w:eastAsia="pl-PL"/>
          <w14:ligatures w14:val="none"/>
        </w:rPr>
        <w:t> – krótkoterminowe finansowanie pod podpisane umowy dotacyjne;</w:t>
      </w:r>
    </w:p>
    <w:p w14:paraId="481CB1AC"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pożyczki płynnościowe</w:t>
      </w:r>
      <w:r w:rsidRPr="006D1FEC">
        <w:rPr>
          <w:rFonts w:ascii="Verdana" w:eastAsia="Times New Roman" w:hAnsi="Verdana" w:cs="Times New Roman"/>
          <w:color w:val="000000"/>
          <w:kern w:val="0"/>
          <w:lang w:eastAsia="pl-PL"/>
          <w14:ligatures w14:val="none"/>
        </w:rPr>
        <w:t> – finansowanie opóźnień w płatnościach;</w:t>
      </w:r>
    </w:p>
    <w:p w14:paraId="0FD8FAAA"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pożyczki inwestycyjne</w:t>
      </w:r>
      <w:r w:rsidRPr="006D1FEC">
        <w:rPr>
          <w:rFonts w:ascii="Verdana" w:eastAsia="Times New Roman" w:hAnsi="Verdana" w:cs="Times New Roman"/>
          <w:color w:val="000000"/>
          <w:kern w:val="0"/>
          <w:lang w:eastAsia="pl-PL"/>
          <w14:ligatures w14:val="none"/>
        </w:rPr>
        <w:t> – rozwój usług, infrastruktury i działalności odpłatnej;</w:t>
      </w:r>
    </w:p>
    <w:p w14:paraId="121503CF"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gwarancje i poręczenia</w:t>
      </w:r>
      <w:r w:rsidRPr="006D1FEC">
        <w:rPr>
          <w:rFonts w:ascii="Verdana" w:eastAsia="Times New Roman" w:hAnsi="Verdana" w:cs="Times New Roman"/>
          <w:color w:val="000000"/>
          <w:kern w:val="0"/>
          <w:lang w:eastAsia="pl-PL"/>
          <w14:ligatures w14:val="none"/>
        </w:rPr>
        <w:t> – zabezpieczenie umów dotacyjnych, zaliczek, najmu, usług i inwestycji;</w:t>
      </w:r>
    </w:p>
    <w:p w14:paraId="4B3FCA94"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linie kredytowe dla NGO</w:t>
      </w:r>
      <w:r w:rsidRPr="006D1FEC">
        <w:rPr>
          <w:rFonts w:ascii="Verdana" w:eastAsia="Times New Roman" w:hAnsi="Verdana" w:cs="Times New Roman"/>
          <w:color w:val="000000"/>
          <w:kern w:val="0"/>
          <w:lang w:eastAsia="pl-PL"/>
          <w14:ligatures w14:val="none"/>
        </w:rPr>
        <w:t> – dostępne na uproszczonych zasadach dla stabilnych organizacji;</w:t>
      </w:r>
    </w:p>
    <w:p w14:paraId="694B7A50"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dotacje warunkowe</w:t>
      </w:r>
      <w:r w:rsidRPr="006D1FEC">
        <w:rPr>
          <w:rFonts w:ascii="Verdana" w:eastAsia="Times New Roman" w:hAnsi="Verdana" w:cs="Times New Roman"/>
          <w:color w:val="000000"/>
          <w:kern w:val="0"/>
          <w:lang w:eastAsia="pl-PL"/>
          <w14:ligatures w14:val="none"/>
        </w:rPr>
        <w:t> – bezzwrotne po osiągnięciu określonego celu społecznego;</w:t>
      </w:r>
    </w:p>
    <w:p w14:paraId="0FA03425"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pożyczki z premią za rezultat</w:t>
      </w:r>
      <w:r w:rsidRPr="006D1FEC">
        <w:rPr>
          <w:rFonts w:ascii="Verdana" w:eastAsia="Times New Roman" w:hAnsi="Verdana" w:cs="Times New Roman"/>
          <w:color w:val="000000"/>
          <w:kern w:val="0"/>
          <w:lang w:eastAsia="pl-PL"/>
          <w14:ligatures w14:val="none"/>
        </w:rPr>
        <w:t> – częściowo umarzane po osiągnięciu uzgodnionych wskaźników;</w:t>
      </w:r>
    </w:p>
    <w:p w14:paraId="0FFD2432"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instrumenty mieszane</w:t>
      </w:r>
      <w:r w:rsidRPr="006D1FEC">
        <w:rPr>
          <w:rFonts w:ascii="Verdana" w:eastAsia="Times New Roman" w:hAnsi="Verdana" w:cs="Times New Roman"/>
          <w:color w:val="000000"/>
          <w:kern w:val="0"/>
          <w:lang w:eastAsia="pl-PL"/>
          <w14:ligatures w14:val="none"/>
        </w:rPr>
        <w:t> – łączące dotację, pożyczkę, gwarancję i doradztwo;</w:t>
      </w:r>
    </w:p>
    <w:p w14:paraId="7D6240D7" w14:textId="77777777" w:rsidR="006D1FEC" w:rsidRPr="006D1FEC" w:rsidRDefault="006D1FEC" w:rsidP="006D1FEC">
      <w:pPr>
        <w:numPr>
          <w:ilvl w:val="0"/>
          <w:numId w:val="7"/>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fundusz zabezpieczeń umów dotacyjnych</w:t>
      </w:r>
      <w:r w:rsidRPr="006D1FEC">
        <w:rPr>
          <w:rFonts w:ascii="Verdana" w:eastAsia="Times New Roman" w:hAnsi="Verdana" w:cs="Times New Roman"/>
          <w:color w:val="000000"/>
          <w:kern w:val="0"/>
          <w:lang w:eastAsia="pl-PL"/>
          <w14:ligatures w14:val="none"/>
        </w:rPr>
        <w:t> – produkt publiczny lub publiczno-społeczny umożliwiający NGO zabezpieczanie umów bez blokowania własnych środków.</w:t>
      </w:r>
    </w:p>
    <w:p w14:paraId="3D5E7E87"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b/>
          <w:bCs/>
          <w:color w:val="000000"/>
          <w:kern w:val="0"/>
          <w:lang w:eastAsia="pl-PL"/>
          <w14:ligatures w14:val="none"/>
        </w:rPr>
        <w:t>Proponowane usprawnienia prawne i wdrożeniowe:</w:t>
      </w:r>
    </w:p>
    <w:p w14:paraId="6D28D5A2" w14:textId="2292609C"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Zasada </w:t>
      </w:r>
      <w:r w:rsidR="006D1FEC" w:rsidRPr="006D1FEC">
        <w:rPr>
          <w:rFonts w:ascii="Verdana" w:eastAsia="Times New Roman" w:hAnsi="Verdana" w:cs="Times New Roman"/>
          <w:color w:val="000000"/>
          <w:kern w:val="0"/>
          <w:lang w:eastAsia="pl-PL"/>
          <w14:ligatures w14:val="none"/>
        </w:rPr>
        <w:t xml:space="preserve">braku obowiązkowego finansowego wkładu własnego w konkursach dla NGO, chyba że </w:t>
      </w:r>
      <w:proofErr w:type="spellStart"/>
      <w:r w:rsidR="006D1FEC" w:rsidRPr="006D1FEC">
        <w:rPr>
          <w:rFonts w:ascii="Verdana" w:eastAsia="Times New Roman" w:hAnsi="Verdana" w:cs="Times New Roman"/>
          <w:color w:val="000000"/>
          <w:kern w:val="0"/>
          <w:lang w:eastAsia="pl-PL"/>
          <w14:ligatures w14:val="none"/>
        </w:rPr>
        <w:t>grantodawca</w:t>
      </w:r>
      <w:proofErr w:type="spellEnd"/>
      <w:r w:rsidR="006D1FEC" w:rsidRPr="006D1FEC">
        <w:rPr>
          <w:rFonts w:ascii="Verdana" w:eastAsia="Times New Roman" w:hAnsi="Verdana" w:cs="Times New Roman"/>
          <w:color w:val="000000"/>
          <w:kern w:val="0"/>
          <w:lang w:eastAsia="pl-PL"/>
          <w14:ligatures w14:val="none"/>
        </w:rPr>
        <w:t xml:space="preserve"> uzasadni jego konieczność</w:t>
      </w:r>
      <w:r>
        <w:rPr>
          <w:rFonts w:ascii="Verdana" w:eastAsia="Times New Roman" w:hAnsi="Verdana" w:cs="Times New Roman"/>
          <w:color w:val="000000"/>
          <w:kern w:val="0"/>
          <w:lang w:eastAsia="pl-PL"/>
          <w14:ligatures w14:val="none"/>
        </w:rPr>
        <w:t xml:space="preserve">. Powierzanie zadań jako tryb domyślny. </w:t>
      </w:r>
    </w:p>
    <w:p w14:paraId="5298AAD3" w14:textId="14624841"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Pełne </w:t>
      </w:r>
      <w:r w:rsidR="006D1FEC" w:rsidRPr="006D1FEC">
        <w:rPr>
          <w:rFonts w:ascii="Verdana" w:eastAsia="Times New Roman" w:hAnsi="Verdana" w:cs="Times New Roman"/>
          <w:color w:val="000000"/>
          <w:kern w:val="0"/>
          <w:lang w:eastAsia="pl-PL"/>
          <w14:ligatures w14:val="none"/>
        </w:rPr>
        <w:t>uznanie wkładu niefinansowego;</w:t>
      </w:r>
    </w:p>
    <w:p w14:paraId="45DE4DF9" w14:textId="10584D22"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Preferowanie </w:t>
      </w:r>
      <w:r w:rsidR="006D1FEC" w:rsidRPr="006D1FEC">
        <w:rPr>
          <w:rFonts w:ascii="Verdana" w:eastAsia="Times New Roman" w:hAnsi="Verdana" w:cs="Times New Roman"/>
          <w:color w:val="000000"/>
          <w:kern w:val="0"/>
          <w:lang w:eastAsia="pl-PL"/>
          <w14:ligatures w14:val="none"/>
        </w:rPr>
        <w:t>powierzania zadań publicznych z pełnym finansowaniem kosztów;</w:t>
      </w:r>
    </w:p>
    <w:p w14:paraId="7C6223D1" w14:textId="0E8E03B5"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Obowiązkowe </w:t>
      </w:r>
      <w:r w:rsidR="006D1FEC" w:rsidRPr="006D1FEC">
        <w:rPr>
          <w:rFonts w:ascii="Verdana" w:eastAsia="Times New Roman" w:hAnsi="Verdana" w:cs="Times New Roman"/>
          <w:color w:val="000000"/>
          <w:kern w:val="0"/>
          <w:lang w:eastAsia="pl-PL"/>
          <w14:ligatures w14:val="none"/>
        </w:rPr>
        <w:t>uwzględnianie kosztów pośrednich;</w:t>
      </w:r>
    </w:p>
    <w:p w14:paraId="5C050B60" w14:textId="65AA9EB0"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Zmiana </w:t>
      </w:r>
      <w:r w:rsidR="006D1FEC" w:rsidRPr="006D1FEC">
        <w:rPr>
          <w:rFonts w:ascii="Verdana" w:eastAsia="Times New Roman" w:hAnsi="Verdana" w:cs="Times New Roman"/>
          <w:color w:val="000000"/>
          <w:kern w:val="0"/>
          <w:lang w:eastAsia="pl-PL"/>
          <w14:ligatures w14:val="none"/>
        </w:rPr>
        <w:t>przepisów o działalności odpłatnej tak, aby dopuszczały nadwyżkę statutową;</w:t>
      </w:r>
    </w:p>
    <w:p w14:paraId="489244DB" w14:textId="7A5EFA37"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Wprowadzenie </w:t>
      </w:r>
      <w:r w:rsidR="006D1FEC" w:rsidRPr="006D1FEC">
        <w:rPr>
          <w:rFonts w:ascii="Verdana" w:eastAsia="Times New Roman" w:hAnsi="Verdana" w:cs="Times New Roman"/>
          <w:color w:val="000000"/>
          <w:kern w:val="0"/>
          <w:lang w:eastAsia="pl-PL"/>
          <w14:ligatures w14:val="none"/>
        </w:rPr>
        <w:t>kategorii odpłatnej działalności misyjnej, odróżnionej od działalności gospodarczej ubocznej;</w:t>
      </w:r>
    </w:p>
    <w:p w14:paraId="2E685D60" w14:textId="511B38B8"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Wprowadzenie </w:t>
      </w:r>
      <w:r w:rsidR="006D1FEC" w:rsidRPr="006D1FEC">
        <w:rPr>
          <w:rFonts w:ascii="Verdana" w:eastAsia="Times New Roman" w:hAnsi="Verdana" w:cs="Times New Roman"/>
          <w:color w:val="000000"/>
          <w:kern w:val="0"/>
          <w:lang w:eastAsia="pl-PL"/>
          <w14:ligatures w14:val="none"/>
        </w:rPr>
        <w:t>standardu polityki rezerw statutowych NGO;</w:t>
      </w:r>
    </w:p>
    <w:p w14:paraId="74D30137" w14:textId="07E2DBC2"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Przegląd </w:t>
      </w:r>
      <w:r w:rsidR="006D1FEC" w:rsidRPr="006D1FEC">
        <w:rPr>
          <w:rFonts w:ascii="Verdana" w:eastAsia="Times New Roman" w:hAnsi="Verdana" w:cs="Times New Roman"/>
          <w:color w:val="000000"/>
          <w:kern w:val="0"/>
          <w:lang w:eastAsia="pl-PL"/>
          <w14:ligatures w14:val="none"/>
        </w:rPr>
        <w:t>statusu OPP i innych statusów pożytku publicznego pod kątem ich funkcji finansowej, podatkowej i gwarancyjnej;</w:t>
      </w:r>
    </w:p>
    <w:p w14:paraId="5DE296E9" w14:textId="3EEA407E"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Uproszczenie </w:t>
      </w:r>
      <w:r w:rsidR="006D1FEC" w:rsidRPr="006D1FEC">
        <w:rPr>
          <w:rFonts w:ascii="Verdana" w:eastAsia="Times New Roman" w:hAnsi="Verdana" w:cs="Times New Roman"/>
          <w:color w:val="000000"/>
          <w:kern w:val="0"/>
          <w:lang w:eastAsia="pl-PL"/>
          <w14:ligatures w14:val="none"/>
        </w:rPr>
        <w:t>zasad przyjmowania i rozliczania darowizn transgranicznych;</w:t>
      </w:r>
    </w:p>
    <w:p w14:paraId="58C4531E" w14:textId="437C9D7E"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Stworzenie </w:t>
      </w:r>
      <w:r w:rsidR="006D1FEC" w:rsidRPr="006D1FEC">
        <w:rPr>
          <w:rFonts w:ascii="Verdana" w:eastAsia="Times New Roman" w:hAnsi="Verdana" w:cs="Times New Roman"/>
          <w:color w:val="000000"/>
          <w:kern w:val="0"/>
          <w:lang w:eastAsia="pl-PL"/>
          <w14:ligatures w14:val="none"/>
        </w:rPr>
        <w:t>funduszu pożyczek pomostowych dla NGO;</w:t>
      </w:r>
    </w:p>
    <w:p w14:paraId="7EB58401" w14:textId="48508DAF"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Stworzenie </w:t>
      </w:r>
      <w:r w:rsidR="006D1FEC" w:rsidRPr="006D1FEC">
        <w:rPr>
          <w:rFonts w:ascii="Verdana" w:eastAsia="Times New Roman" w:hAnsi="Verdana" w:cs="Times New Roman"/>
          <w:color w:val="000000"/>
          <w:kern w:val="0"/>
          <w:lang w:eastAsia="pl-PL"/>
          <w14:ligatures w14:val="none"/>
        </w:rPr>
        <w:t>systemu gwarancji i poręczeń dla umów dotacyjnych;</w:t>
      </w:r>
    </w:p>
    <w:p w14:paraId="14961FF7" w14:textId="39A8D6F6"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Pilotaż </w:t>
      </w:r>
      <w:r w:rsidR="006D1FEC" w:rsidRPr="006D1FEC">
        <w:rPr>
          <w:rFonts w:ascii="Verdana" w:eastAsia="Times New Roman" w:hAnsi="Verdana" w:cs="Times New Roman"/>
          <w:color w:val="000000"/>
          <w:kern w:val="0"/>
          <w:lang w:eastAsia="pl-PL"/>
          <w14:ligatures w14:val="none"/>
        </w:rPr>
        <w:t>produktów, w których po osiągnięciu celu społecznego część finansowania staje się bezzwrotna;</w:t>
      </w:r>
    </w:p>
    <w:p w14:paraId="5E54F51C" w14:textId="7318A135"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lastRenderedPageBreak/>
        <w:t xml:space="preserve">Doradztwo </w:t>
      </w:r>
      <w:r w:rsidR="006D1FEC" w:rsidRPr="006D1FEC">
        <w:rPr>
          <w:rFonts w:ascii="Verdana" w:eastAsia="Times New Roman" w:hAnsi="Verdana" w:cs="Times New Roman"/>
          <w:color w:val="000000"/>
          <w:kern w:val="0"/>
          <w:lang w:eastAsia="pl-PL"/>
          <w14:ligatures w14:val="none"/>
        </w:rPr>
        <w:t>finansowe i prawne dla NGO korzystających z instrumentów zwrotnych;</w:t>
      </w:r>
    </w:p>
    <w:p w14:paraId="7C4C1DB7" w14:textId="382981E5"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Monitoring </w:t>
      </w:r>
      <w:r w:rsidR="006D1FEC" w:rsidRPr="006D1FEC">
        <w:rPr>
          <w:rFonts w:ascii="Verdana" w:eastAsia="Times New Roman" w:hAnsi="Verdana" w:cs="Times New Roman"/>
          <w:color w:val="000000"/>
          <w:kern w:val="0"/>
          <w:lang w:eastAsia="pl-PL"/>
          <w14:ligatures w14:val="none"/>
        </w:rPr>
        <w:t>ryzyka zadłużenia NGO;</w:t>
      </w:r>
    </w:p>
    <w:p w14:paraId="0F1D00ED" w14:textId="75B3E01A" w:rsidR="006D1FEC" w:rsidRPr="006D1FEC" w:rsidRDefault="009479B6" w:rsidP="006D1FEC">
      <w:pPr>
        <w:numPr>
          <w:ilvl w:val="0"/>
          <w:numId w:val="8"/>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 xml:space="preserve">Proporcjonalna </w:t>
      </w:r>
      <w:r w:rsidR="006D1FEC" w:rsidRPr="006D1FEC">
        <w:rPr>
          <w:rFonts w:ascii="Verdana" w:eastAsia="Times New Roman" w:hAnsi="Verdana" w:cs="Times New Roman"/>
          <w:color w:val="000000"/>
          <w:kern w:val="0"/>
          <w:lang w:eastAsia="pl-PL"/>
          <w14:ligatures w14:val="none"/>
        </w:rPr>
        <w:t>sprawozdawczość i kontrola, zależna od skali finansowania i ryzyka</w:t>
      </w:r>
      <w:r w:rsidR="00B96DFD">
        <w:rPr>
          <w:rFonts w:ascii="Verdana" w:eastAsia="Times New Roman" w:hAnsi="Verdana" w:cs="Times New Roman"/>
          <w:color w:val="000000"/>
          <w:kern w:val="0"/>
          <w:lang w:eastAsia="pl-PL"/>
          <w14:ligatures w14:val="none"/>
        </w:rPr>
        <w:t xml:space="preserve"> – rozróżnienie na mikro/małe/średnie/duże organizacje pozarządowe.</w:t>
      </w:r>
    </w:p>
    <w:p w14:paraId="40CFB88E" w14:textId="77777777" w:rsidR="006D1FEC" w:rsidRPr="006D1FEC" w:rsidRDefault="006D1FEC" w:rsidP="006D1FEC">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6D1FEC">
        <w:rPr>
          <w:rFonts w:ascii="Verdana" w:eastAsia="Times New Roman" w:hAnsi="Verdana" w:cs="Times New Roman"/>
          <w:color w:val="000000"/>
          <w:kern w:val="0"/>
          <w:lang w:eastAsia="pl-PL"/>
          <w14:ligatures w14:val="none"/>
        </w:rPr>
        <w:t>Rezultatem strategicznym powinien być system, w którym NGO nie muszą stale dokładać do zadań publicznych z własnych, często nieistniejących zasobów; mogą legalnie budować nadwyżkę statutową i rezerwy; korzystają z bezpiecznych produktów finansowych dopasowanych do ich misji, skali działania i realnej zdolności finansowej; a państwo i samorządy zyskują stabilniejszych partnerów do realizacji zadań publicznych.</w:t>
      </w:r>
    </w:p>
    <w:p w14:paraId="1F89BD63" w14:textId="77777777" w:rsidR="00412812" w:rsidRPr="006D1FEC" w:rsidRDefault="00412812" w:rsidP="006D1FEC">
      <w:pPr>
        <w:spacing w:line="276" w:lineRule="auto"/>
        <w:rPr>
          <w:rFonts w:ascii="Verdana" w:hAnsi="Verdana"/>
        </w:rPr>
      </w:pPr>
    </w:p>
    <w:sectPr w:rsidR="00412812" w:rsidRPr="006D1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7C77"/>
    <w:multiLevelType w:val="multilevel"/>
    <w:tmpl w:val="5C84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12018"/>
    <w:multiLevelType w:val="multilevel"/>
    <w:tmpl w:val="E96C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95684"/>
    <w:multiLevelType w:val="multilevel"/>
    <w:tmpl w:val="9D0A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E6214"/>
    <w:multiLevelType w:val="multilevel"/>
    <w:tmpl w:val="B776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85075A"/>
    <w:multiLevelType w:val="multilevel"/>
    <w:tmpl w:val="77F4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1E519F"/>
    <w:multiLevelType w:val="multilevel"/>
    <w:tmpl w:val="1D68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1A03AF"/>
    <w:multiLevelType w:val="multilevel"/>
    <w:tmpl w:val="257A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4B21C4"/>
    <w:multiLevelType w:val="multilevel"/>
    <w:tmpl w:val="2358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E8180E"/>
    <w:multiLevelType w:val="multilevel"/>
    <w:tmpl w:val="15AC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6289326">
    <w:abstractNumId w:val="2"/>
  </w:num>
  <w:num w:numId="2" w16cid:durableId="285431270">
    <w:abstractNumId w:val="0"/>
  </w:num>
  <w:num w:numId="3" w16cid:durableId="2115861474">
    <w:abstractNumId w:val="1"/>
  </w:num>
  <w:num w:numId="4" w16cid:durableId="884410304">
    <w:abstractNumId w:val="5"/>
  </w:num>
  <w:num w:numId="5" w16cid:durableId="1438986739">
    <w:abstractNumId w:val="6"/>
  </w:num>
  <w:num w:numId="6" w16cid:durableId="1231303441">
    <w:abstractNumId w:val="7"/>
  </w:num>
  <w:num w:numId="7" w16cid:durableId="483276492">
    <w:abstractNumId w:val="3"/>
  </w:num>
  <w:num w:numId="8" w16cid:durableId="1269309774">
    <w:abstractNumId w:val="8"/>
  </w:num>
  <w:num w:numId="9" w16cid:durableId="1344238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EC"/>
    <w:rsid w:val="00412812"/>
    <w:rsid w:val="006D1FEC"/>
    <w:rsid w:val="007018FD"/>
    <w:rsid w:val="008015A1"/>
    <w:rsid w:val="009479B6"/>
    <w:rsid w:val="00B96DFD"/>
    <w:rsid w:val="00BB3815"/>
    <w:rsid w:val="00C83485"/>
    <w:rsid w:val="00CC68B2"/>
    <w:rsid w:val="00CF2DD6"/>
    <w:rsid w:val="00D36A51"/>
    <w:rsid w:val="00E866A8"/>
    <w:rsid w:val="00EB6AAA"/>
    <w:rsid w:val="00E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729B257"/>
  <w15:chartTrackingRefBased/>
  <w15:docId w15:val="{F397B1AD-8FEF-4240-BE43-B82B5A91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D1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D1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D1FE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D1FE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D1FE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D1FE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1FE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1FE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1FE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1FE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D1FE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D1FE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D1F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D1F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D1F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1F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1F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1FEC"/>
    <w:rPr>
      <w:rFonts w:eastAsiaTheme="majorEastAsia" w:cstheme="majorBidi"/>
      <w:color w:val="272727" w:themeColor="text1" w:themeTint="D8"/>
    </w:rPr>
  </w:style>
  <w:style w:type="paragraph" w:styleId="Tytu">
    <w:name w:val="Title"/>
    <w:basedOn w:val="Normalny"/>
    <w:next w:val="Normalny"/>
    <w:link w:val="TytuZnak"/>
    <w:uiPriority w:val="10"/>
    <w:qFormat/>
    <w:rsid w:val="006D1FE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1F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1FE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1F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1FE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D1FEC"/>
    <w:rPr>
      <w:i/>
      <w:iCs/>
      <w:color w:val="404040" w:themeColor="text1" w:themeTint="BF"/>
    </w:rPr>
  </w:style>
  <w:style w:type="paragraph" w:styleId="Akapitzlist">
    <w:name w:val="List Paragraph"/>
    <w:basedOn w:val="Normalny"/>
    <w:uiPriority w:val="34"/>
    <w:qFormat/>
    <w:rsid w:val="006D1FEC"/>
    <w:pPr>
      <w:ind w:left="720"/>
      <w:contextualSpacing/>
    </w:pPr>
  </w:style>
  <w:style w:type="character" w:styleId="Wyrnienieintensywne">
    <w:name w:val="Intense Emphasis"/>
    <w:basedOn w:val="Domylnaczcionkaakapitu"/>
    <w:uiPriority w:val="21"/>
    <w:qFormat/>
    <w:rsid w:val="006D1FEC"/>
    <w:rPr>
      <w:i/>
      <w:iCs/>
      <w:color w:val="2F5496" w:themeColor="accent1" w:themeShade="BF"/>
    </w:rPr>
  </w:style>
  <w:style w:type="paragraph" w:styleId="Cytatintensywny">
    <w:name w:val="Intense Quote"/>
    <w:basedOn w:val="Normalny"/>
    <w:next w:val="Normalny"/>
    <w:link w:val="CytatintensywnyZnak"/>
    <w:uiPriority w:val="30"/>
    <w:qFormat/>
    <w:rsid w:val="006D1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D1FEC"/>
    <w:rPr>
      <w:i/>
      <w:iCs/>
      <w:color w:val="2F5496" w:themeColor="accent1" w:themeShade="BF"/>
    </w:rPr>
  </w:style>
  <w:style w:type="character" w:styleId="Odwoanieintensywne">
    <w:name w:val="Intense Reference"/>
    <w:basedOn w:val="Domylnaczcionkaakapitu"/>
    <w:uiPriority w:val="32"/>
    <w:qFormat/>
    <w:rsid w:val="006D1FEC"/>
    <w:rPr>
      <w:b/>
      <w:bCs/>
      <w:smallCaps/>
      <w:color w:val="2F5496" w:themeColor="accent1" w:themeShade="BF"/>
      <w:spacing w:val="5"/>
    </w:rPr>
  </w:style>
  <w:style w:type="paragraph" w:customStyle="1" w:styleId="isselectedend">
    <w:name w:val="isselectedend"/>
    <w:basedOn w:val="Normalny"/>
    <w:rsid w:val="006D1FEC"/>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6D1FEC"/>
    <w:rPr>
      <w:b/>
      <w:bCs/>
    </w:rPr>
  </w:style>
  <w:style w:type="character" w:customStyle="1" w:styleId="apple-converted-space">
    <w:name w:val="apple-converted-space"/>
    <w:basedOn w:val="Domylnaczcionkaakapitu"/>
    <w:rsid w:val="006D1FEC"/>
  </w:style>
  <w:style w:type="character" w:styleId="Hipercze">
    <w:name w:val="Hyperlink"/>
    <w:basedOn w:val="Domylnaczcionkaakapitu"/>
    <w:uiPriority w:val="99"/>
    <w:unhideWhenUsed/>
    <w:rsid w:val="006D1FEC"/>
    <w:rPr>
      <w:color w:val="0000FF"/>
      <w:u w:val="single"/>
    </w:rPr>
  </w:style>
  <w:style w:type="paragraph" w:styleId="NormalnyWeb">
    <w:name w:val="Normal (Web)"/>
    <w:basedOn w:val="Normalny"/>
    <w:uiPriority w:val="99"/>
    <w:semiHidden/>
    <w:unhideWhenUsed/>
    <w:rsid w:val="006D1FEC"/>
    <w:pPr>
      <w:spacing w:before="100" w:beforeAutospacing="1" w:after="100" w:afterAutospacing="1"/>
    </w:pPr>
    <w:rPr>
      <w:rFonts w:ascii="Times New Roman" w:eastAsia="Times New Roman" w:hAnsi="Times New Roman" w:cs="Times New Roman"/>
      <w:kern w:val="0"/>
      <w:lang w:eastAsia="pl-PL"/>
      <w14:ligatures w14:val="none"/>
    </w:rPr>
  </w:style>
  <w:style w:type="character" w:styleId="Nierozpoznanawzmianka">
    <w:name w:val="Unresolved Mention"/>
    <w:basedOn w:val="Domylnaczcionkaakapitu"/>
    <w:uiPriority w:val="99"/>
    <w:semiHidden/>
    <w:unhideWhenUsed/>
    <w:rsid w:val="0094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sejm.gov.pl/eli/acts/DU/2024/1491/text.pdf" TargetMode="External"/><Relationship Id="rId13" Type="http://schemas.openxmlformats.org/officeDocument/2006/relationships/hyperlink" Target="https://www.belastingdienst.nl/wps/wcm/connect/bldcontenten/belastingdienst/business/business-public-benefit-organisations/public_benefit_organisations/conditions_pbos/which_conditions_must_be_met_by_pbo" TargetMode="External"/><Relationship Id="rId3" Type="http://schemas.openxmlformats.org/officeDocument/2006/relationships/settings" Target="settings.xml"/><Relationship Id="rId7" Type="http://schemas.openxmlformats.org/officeDocument/2006/relationships/hyperlink" Target="https://stat.gov.pl/obszary-tematyczne/gospodarka-spoleczna-wolontariat/gospodarka-spoleczna-trzeci-sektor/sektor-non-profit-w-2022-roku,1,9.html" TargetMode="External"/><Relationship Id="rId12" Type="http://schemas.openxmlformats.org/officeDocument/2006/relationships/hyperlink" Target="https://www.fi-compass.eu/sites/default/files/publications/Financing%20social%20economy%20in%20Poland%20%E2%80%93%20updated%20case%20stud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pi.ngo.pl/media/get/263657" TargetMode="External"/><Relationship Id="rId11" Type="http://schemas.openxmlformats.org/officeDocument/2006/relationships/hyperlink" Target="https://european-social-fund-plus.ec.europa.eu/en/financial-instruments" TargetMode="External"/><Relationship Id="rId5" Type="http://schemas.openxmlformats.org/officeDocument/2006/relationships/hyperlink" Target="https://strategia2026.kprm.gov.pl/?lang=pl" TargetMode="External"/><Relationship Id="rId15" Type="http://schemas.openxmlformats.org/officeDocument/2006/relationships/hyperlink" Target="https://www.oecd.org/en/publications/social-impact-bonds_3064b396-en.html" TargetMode="External"/><Relationship Id="rId10" Type="http://schemas.openxmlformats.org/officeDocument/2006/relationships/hyperlink" Target="https://www.oecd.org/content/dam/oecd/en/publications/reports/2025/01/towards-meaningful-civil-society-participation-at-the-international-level_99c618fe/8ed04dc2-en.pdf" TargetMode="External"/><Relationship Id="rId4" Type="http://schemas.openxmlformats.org/officeDocument/2006/relationships/webSettings" Target="webSettings.xml"/><Relationship Id="rId9" Type="http://schemas.openxmlformats.org/officeDocument/2006/relationships/hyperlink" Target="https://search.coe.int/cm?i=09000016805d534d" TargetMode="External"/><Relationship Id="rId14" Type="http://schemas.openxmlformats.org/officeDocument/2006/relationships/hyperlink" Target="https://www.wheel.ie/advice-guidance/managing-your-organisation/financial-management-nonprofits/guidelines-reserves-poli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3453</Words>
  <Characters>24414</Characters>
  <Application>Microsoft Office Word</Application>
  <DocSecurity>0</DocSecurity>
  <Lines>420</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Och</dc:creator>
  <cp:keywords/>
  <dc:description/>
  <cp:lastModifiedBy>Justyna Och</cp:lastModifiedBy>
  <cp:revision>4</cp:revision>
  <dcterms:created xsi:type="dcterms:W3CDTF">2026-06-15T15:58:00Z</dcterms:created>
  <dcterms:modified xsi:type="dcterms:W3CDTF">2026-06-15T17:05:00Z</dcterms:modified>
</cp:coreProperties>
</file>