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05B0" w14:textId="72963F2E" w:rsidR="009245B1" w:rsidRPr="009245B1" w:rsidRDefault="009245B1" w:rsidP="00F40563">
      <w:pPr>
        <w:spacing w:before="100" w:beforeAutospacing="1" w:after="100" w:afterAutospacing="1" w:line="276" w:lineRule="auto"/>
        <w:outlineLvl w:val="1"/>
        <w:rPr>
          <w:rFonts w:ascii="Verdana" w:eastAsia="Times New Roman" w:hAnsi="Verdana" w:cs="Times New Roman"/>
          <w:b/>
          <w:bCs/>
          <w:color w:val="000000"/>
          <w:kern w:val="0"/>
          <w:sz w:val="32"/>
          <w:szCs w:val="32"/>
          <w:lang w:eastAsia="pl-PL"/>
          <w14:ligatures w14:val="none"/>
        </w:rPr>
      </w:pPr>
      <w:r w:rsidRPr="009245B1">
        <w:rPr>
          <w:rFonts w:ascii="Verdana" w:eastAsia="Times New Roman" w:hAnsi="Verdana" w:cs="Times New Roman"/>
          <w:b/>
          <w:bCs/>
          <w:color w:val="000000"/>
          <w:kern w:val="0"/>
          <w:sz w:val="32"/>
          <w:szCs w:val="32"/>
          <w:lang w:eastAsia="pl-PL"/>
          <w14:ligatures w14:val="none"/>
        </w:rPr>
        <w:t xml:space="preserve">Link do ankiety: </w:t>
      </w:r>
      <w:hyperlink r:id="rId5" w:history="1">
        <w:r w:rsidRPr="009245B1">
          <w:rPr>
            <w:rStyle w:val="Hipercze"/>
            <w:rFonts w:ascii="Verdana" w:eastAsia="Times New Roman" w:hAnsi="Verdana" w:cs="Times New Roman"/>
            <w:b/>
            <w:bCs/>
            <w:kern w:val="0"/>
            <w:sz w:val="32"/>
            <w:szCs w:val="32"/>
            <w:lang w:eastAsia="pl-PL"/>
            <w14:ligatures w14:val="none"/>
          </w:rPr>
          <w:t>https://strategia2026.kprm.gov.pl/?lang=pl</w:t>
        </w:r>
      </w:hyperlink>
      <w:r w:rsidRPr="009245B1">
        <w:rPr>
          <w:rFonts w:ascii="Verdana" w:eastAsia="Times New Roman" w:hAnsi="Verdana" w:cs="Times New Roman"/>
          <w:b/>
          <w:bCs/>
          <w:color w:val="000000"/>
          <w:kern w:val="0"/>
          <w:sz w:val="32"/>
          <w:szCs w:val="32"/>
          <w:lang w:eastAsia="pl-PL"/>
          <w14:ligatures w14:val="none"/>
        </w:rPr>
        <w:t xml:space="preserve"> </w:t>
      </w:r>
    </w:p>
    <w:p w14:paraId="33FA5909" w14:textId="5EED23CC" w:rsidR="009245B1" w:rsidRPr="009245B1" w:rsidRDefault="009245B1" w:rsidP="00F40563">
      <w:pPr>
        <w:spacing w:before="100" w:beforeAutospacing="1" w:after="100" w:afterAutospacing="1" w:line="276" w:lineRule="auto"/>
        <w:outlineLvl w:val="1"/>
        <w:rPr>
          <w:rFonts w:ascii="Verdana" w:hAnsi="Verdana"/>
          <w:b/>
          <w:bCs/>
          <w:color w:val="000000"/>
          <w:sz w:val="32"/>
          <w:szCs w:val="32"/>
        </w:rPr>
      </w:pPr>
      <w:r w:rsidRPr="009245B1">
        <w:rPr>
          <w:rFonts w:ascii="Verdana" w:eastAsia="Times New Roman" w:hAnsi="Verdana" w:cs="Times New Roman"/>
          <w:b/>
          <w:bCs/>
          <w:color w:val="000000"/>
          <w:kern w:val="0"/>
          <w:sz w:val="32"/>
          <w:szCs w:val="32"/>
          <w:highlight w:val="yellow"/>
          <w:lang w:eastAsia="pl-PL"/>
          <w14:ligatures w14:val="none"/>
        </w:rPr>
        <w:t xml:space="preserve">Nazwa wybieranego obszaru -&gt; </w:t>
      </w:r>
      <w:proofErr w:type="spellStart"/>
      <w:r w:rsidRPr="009245B1">
        <w:rPr>
          <w:rFonts w:ascii="Verdana" w:hAnsi="Verdana"/>
          <w:b/>
          <w:bCs/>
          <w:color w:val="000000"/>
          <w:sz w:val="32"/>
          <w:szCs w:val="32"/>
          <w:highlight w:val="yellow"/>
          <w:lang w:val="en-US"/>
        </w:rPr>
        <w:t>Wzmocnienie</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potencjału</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i</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stabilności</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finansowej</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organizacji</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pozarządowych</w:t>
      </w:r>
      <w:proofErr w:type="spellEnd"/>
      <w:r w:rsidRPr="009245B1">
        <w:rPr>
          <w:rFonts w:ascii="Verdana" w:hAnsi="Verdana"/>
          <w:b/>
          <w:bCs/>
          <w:color w:val="000000"/>
          <w:sz w:val="32"/>
          <w:szCs w:val="32"/>
          <w:highlight w:val="yellow"/>
          <w:lang w:val="en-US"/>
        </w:rPr>
        <w:t xml:space="preserve"> - </w:t>
      </w:r>
      <w:proofErr w:type="spellStart"/>
      <w:r w:rsidRPr="009245B1">
        <w:rPr>
          <w:rFonts w:ascii="Verdana" w:hAnsi="Verdana"/>
          <w:b/>
          <w:bCs/>
          <w:color w:val="000000"/>
          <w:sz w:val="32"/>
          <w:szCs w:val="32"/>
          <w:highlight w:val="yellow"/>
          <w:lang w:val="en-US"/>
        </w:rPr>
        <w:t>silny</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i</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odporny</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sektor</w:t>
      </w:r>
      <w:proofErr w:type="spellEnd"/>
      <w:r w:rsidRPr="009245B1">
        <w:rPr>
          <w:rFonts w:ascii="Verdana" w:hAnsi="Verdana"/>
          <w:b/>
          <w:bCs/>
          <w:color w:val="000000"/>
          <w:sz w:val="32"/>
          <w:szCs w:val="32"/>
          <w:highlight w:val="yellow"/>
          <w:lang w:val="en-US"/>
        </w:rPr>
        <w:t xml:space="preserve"> </w:t>
      </w:r>
      <w:proofErr w:type="spellStart"/>
      <w:r w:rsidRPr="009245B1">
        <w:rPr>
          <w:rFonts w:ascii="Verdana" w:hAnsi="Verdana"/>
          <w:b/>
          <w:bCs/>
          <w:color w:val="000000"/>
          <w:sz w:val="32"/>
          <w:szCs w:val="32"/>
          <w:highlight w:val="yellow"/>
          <w:lang w:val="en-US"/>
        </w:rPr>
        <w:t>obywatelski</w:t>
      </w:r>
      <w:proofErr w:type="spellEnd"/>
    </w:p>
    <w:p w14:paraId="4B5E859E" w14:textId="0C36FA29" w:rsidR="00F40563" w:rsidRPr="009245B1" w:rsidRDefault="009245B1" w:rsidP="00F40563">
      <w:pPr>
        <w:spacing w:before="100" w:beforeAutospacing="1" w:after="100" w:afterAutospacing="1" w:line="276" w:lineRule="auto"/>
        <w:outlineLvl w:val="1"/>
        <w:rPr>
          <w:rFonts w:ascii="Verdana" w:eastAsia="Times New Roman" w:hAnsi="Verdana" w:cs="Times New Roman"/>
          <w:b/>
          <w:bCs/>
          <w:color w:val="000000"/>
          <w:kern w:val="0"/>
          <w:sz w:val="28"/>
          <w:szCs w:val="28"/>
          <w:lang w:eastAsia="pl-PL"/>
          <w14:ligatures w14:val="none"/>
        </w:rPr>
      </w:pPr>
      <w:r w:rsidRPr="009245B1">
        <w:rPr>
          <w:rFonts w:ascii="Verdana" w:eastAsia="Times New Roman" w:hAnsi="Verdana" w:cs="Times New Roman"/>
          <w:b/>
          <w:bCs/>
          <w:color w:val="000000"/>
          <w:kern w:val="0"/>
          <w:sz w:val="28"/>
          <w:szCs w:val="28"/>
          <w:lang w:eastAsia="pl-PL"/>
          <w14:ligatures w14:val="none"/>
        </w:rPr>
        <w:t xml:space="preserve">1. </w:t>
      </w:r>
      <w:r w:rsidR="00F40563" w:rsidRPr="009245B1">
        <w:rPr>
          <w:rFonts w:ascii="Verdana" w:eastAsia="Times New Roman" w:hAnsi="Verdana" w:cs="Times New Roman"/>
          <w:b/>
          <w:bCs/>
          <w:color w:val="000000"/>
          <w:kern w:val="0"/>
          <w:sz w:val="28"/>
          <w:szCs w:val="28"/>
          <w:lang w:eastAsia="pl-PL"/>
          <w14:ligatures w14:val="none"/>
        </w:rPr>
        <w:t>Nazwa proponowanego działania/interwencji strategicznej wraz z propozycją nazw priorytetu i kierunku dla tego działania</w:t>
      </w:r>
    </w:p>
    <w:p w14:paraId="0438CEBA"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Nazwa proponowanego działania/interwencji strategicznej:</w:t>
      </w:r>
      <w:r w:rsidRPr="00F40563">
        <w:rPr>
          <w:rFonts w:ascii="Verdana" w:eastAsia="Times New Roman" w:hAnsi="Verdana" w:cs="Times New Roman"/>
          <w:color w:val="000000"/>
          <w:kern w:val="0"/>
          <w:lang w:eastAsia="pl-PL"/>
          <w14:ligatures w14:val="none"/>
        </w:rPr>
        <w:br/>
      </w:r>
      <w:r w:rsidRPr="00F40563">
        <w:rPr>
          <w:rFonts w:ascii="Verdana" w:eastAsia="Times New Roman" w:hAnsi="Verdana" w:cs="Times New Roman"/>
          <w:b/>
          <w:bCs/>
          <w:color w:val="000000"/>
          <w:kern w:val="0"/>
          <w:lang w:eastAsia="pl-PL"/>
          <w14:ligatures w14:val="none"/>
        </w:rPr>
        <w:t>Lokalowe i infrastrukturalne warunki stabilności instytucjonalnej NGO: publiczne zasoby dla niekomercyjnych działań społecznych, obywatelskich i partycypacyjnych</w:t>
      </w:r>
    </w:p>
    <w:p w14:paraId="125F5E42"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Propozycja nazwy priorytetu:</w:t>
      </w:r>
      <w:r w:rsidRPr="00F40563">
        <w:rPr>
          <w:rFonts w:ascii="Verdana" w:eastAsia="Times New Roman" w:hAnsi="Verdana" w:cs="Times New Roman"/>
          <w:color w:val="000000"/>
          <w:kern w:val="0"/>
          <w:lang w:eastAsia="pl-PL"/>
          <w14:ligatures w14:val="none"/>
        </w:rPr>
        <w:br/>
      </w:r>
      <w:r w:rsidRPr="00F40563">
        <w:rPr>
          <w:rFonts w:ascii="Verdana" w:eastAsia="Times New Roman" w:hAnsi="Verdana" w:cs="Times New Roman"/>
          <w:b/>
          <w:bCs/>
          <w:color w:val="000000"/>
          <w:kern w:val="0"/>
          <w:lang w:eastAsia="pl-PL"/>
          <w14:ligatures w14:val="none"/>
        </w:rPr>
        <w:t>Stabilne instytucjonalnie i zakorzenione lokalnie społeczeństwo obywatelskie</w:t>
      </w:r>
    </w:p>
    <w:p w14:paraId="6FAFD5A7"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Propozycja nazwy kierunku działania:</w:t>
      </w:r>
      <w:r w:rsidRPr="00F40563">
        <w:rPr>
          <w:rFonts w:ascii="Verdana" w:eastAsia="Times New Roman" w:hAnsi="Verdana" w:cs="Times New Roman"/>
          <w:color w:val="000000"/>
          <w:kern w:val="0"/>
          <w:lang w:eastAsia="pl-PL"/>
          <w14:ligatures w14:val="none"/>
        </w:rPr>
        <w:br/>
      </w:r>
      <w:r w:rsidRPr="00F40563">
        <w:rPr>
          <w:rFonts w:ascii="Verdana" w:eastAsia="Times New Roman" w:hAnsi="Verdana" w:cs="Times New Roman"/>
          <w:b/>
          <w:bCs/>
          <w:color w:val="000000"/>
          <w:kern w:val="0"/>
          <w:lang w:eastAsia="pl-PL"/>
          <w14:ligatures w14:val="none"/>
        </w:rPr>
        <w:t>Rozwój lokalnych polityk lokalowych, społecznego wykorzystania zasobów publicznych oraz infrastruktury obywatelskiej dla NGO</w:t>
      </w:r>
    </w:p>
    <w:p w14:paraId="47A4530A"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Interwencja dotyczy potrzeby systemowego zapewnienia NGO dostępu do przestrzeni, lokali i infrastruktury publicznej niezbędnych do prowadzenia niekomercyjnych działań społecznych. Stabilność instytucjonalna NGO nie zależy wyłącznie od dotacji i projektów. Organizacje potrzebują także miejsc pracy, spotkań, świadczenia usług, kontaktu z mieszkańcami, prowadzenia działań edukacyjnych, poradniczych, samopomocowych, </w:t>
      </w:r>
      <w:proofErr w:type="spellStart"/>
      <w:r w:rsidRPr="00F40563">
        <w:rPr>
          <w:rFonts w:ascii="Verdana" w:eastAsia="Times New Roman" w:hAnsi="Verdana" w:cs="Times New Roman"/>
          <w:color w:val="000000"/>
          <w:kern w:val="0"/>
          <w:lang w:eastAsia="pl-PL"/>
          <w14:ligatures w14:val="none"/>
        </w:rPr>
        <w:t>rzeczniczych</w:t>
      </w:r>
      <w:proofErr w:type="spellEnd"/>
      <w:r w:rsidRPr="00F40563">
        <w:rPr>
          <w:rFonts w:ascii="Verdana" w:eastAsia="Times New Roman" w:hAnsi="Verdana" w:cs="Times New Roman"/>
          <w:color w:val="000000"/>
          <w:kern w:val="0"/>
          <w:lang w:eastAsia="pl-PL"/>
          <w14:ligatures w14:val="none"/>
        </w:rPr>
        <w:t>, kulturalnych, integracyjnych i partycypacyjnych.</w:t>
      </w:r>
    </w:p>
    <w:p w14:paraId="06128BB7"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Celem interwencji jest stworzenie lokalnych polityk lokalowych i zasad użycia zasobów publicznych na potrzeby działań społecznych, prowadzonych w interesie publicznym i bez celu komercyjnego. Dotyczy to w szczególności lokali komunalnych, szkół, bibliotek, domów kultury, świetlic, centrów usług społecznych, centrów aktywności lokalnej, obiektów sportowych, budynków po usługach publicznych, pustostanów, </w:t>
      </w:r>
      <w:r w:rsidRPr="00F40563">
        <w:rPr>
          <w:rFonts w:ascii="Verdana" w:eastAsia="Times New Roman" w:hAnsi="Verdana" w:cs="Times New Roman"/>
          <w:color w:val="000000"/>
          <w:kern w:val="0"/>
          <w:lang w:eastAsia="pl-PL"/>
          <w14:ligatures w14:val="none"/>
        </w:rPr>
        <w:lastRenderedPageBreak/>
        <w:t>zasobów spółek komunalnych oraz nowo planowanej infrastruktury społecznej.</w:t>
      </w:r>
    </w:p>
    <w:p w14:paraId="1086A03C"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Interwencja powinna wzmacniać funkcję obywatelską infrastruktury publicznej. Szkoła, biblioteka, dom kultury, centrum usług społecznych czy lokal komunalny nie powinny być traktowane wyłącznie jako budynki przypisane do jednej instytucji. Mogą być także miejscami aktywności mieszkańców, konsultacji, zebrań, warsztatów, poradnictwa, wolontariatu, samopomocy, integracji, działań międzypokoleniowych i pracy NGO. Takie podejście wzmacnia lokalną demokrację, zaufanie, odporność społeczną i efektywność wykorzystania majątku publicznego.</w:t>
      </w:r>
    </w:p>
    <w:p w14:paraId="17BDCC7B"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Źródła:</w:t>
      </w:r>
      <w:r w:rsidRPr="00F40563">
        <w:rPr>
          <w:rFonts w:ascii="Verdana" w:eastAsia="Times New Roman" w:hAnsi="Verdana" w:cs="Times New Roman"/>
          <w:color w:val="000000"/>
          <w:kern w:val="0"/>
          <w:lang w:eastAsia="pl-PL"/>
          <w14:ligatures w14:val="none"/>
        </w:rPr>
        <w:br/>
        <w:t xml:space="preserve">OECD, </w:t>
      </w:r>
      <w:proofErr w:type="spellStart"/>
      <w:r w:rsidRPr="00F40563">
        <w:rPr>
          <w:rFonts w:ascii="Verdana" w:eastAsia="Times New Roman" w:hAnsi="Verdana" w:cs="Times New Roman"/>
          <w:color w:val="000000"/>
          <w:kern w:val="0"/>
          <w:lang w:eastAsia="pl-PL"/>
          <w14:ligatures w14:val="none"/>
        </w:rPr>
        <w:t>Civic</w:t>
      </w:r>
      <w:proofErr w:type="spellEnd"/>
      <w:r w:rsidRPr="00F40563">
        <w:rPr>
          <w:rFonts w:ascii="Verdana" w:eastAsia="Times New Roman" w:hAnsi="Verdana" w:cs="Times New Roman"/>
          <w:color w:val="000000"/>
          <w:kern w:val="0"/>
          <w:lang w:eastAsia="pl-PL"/>
          <w14:ligatures w14:val="none"/>
        </w:rPr>
        <w:t xml:space="preserve"> space: </w:t>
      </w:r>
      <w:hyperlink r:id="rId6" w:history="1">
        <w:r w:rsidRPr="00F40563">
          <w:rPr>
            <w:rFonts w:ascii="Verdana" w:eastAsia="Times New Roman" w:hAnsi="Verdana" w:cs="Times New Roman"/>
            <w:color w:val="0000FF"/>
            <w:kern w:val="0"/>
            <w:u w:val="single"/>
            <w:lang w:eastAsia="pl-PL"/>
            <w14:ligatures w14:val="none"/>
          </w:rPr>
          <w:t>https://www.oecd.org/en/topics/sub-issues/open-government-and-citizen-participation/civic-space.html</w:t>
        </w:r>
      </w:hyperlink>
      <w:r w:rsidRPr="00F40563">
        <w:rPr>
          <w:rFonts w:ascii="Verdana" w:eastAsia="Times New Roman" w:hAnsi="Verdana" w:cs="Times New Roman"/>
          <w:color w:val="000000"/>
          <w:kern w:val="0"/>
          <w:lang w:eastAsia="pl-PL"/>
          <w14:ligatures w14:val="none"/>
        </w:rPr>
        <w:br/>
        <w:t>OECD, „</w:t>
      </w:r>
      <w:proofErr w:type="spellStart"/>
      <w:r w:rsidRPr="00F40563">
        <w:rPr>
          <w:rFonts w:ascii="Verdana" w:eastAsia="Times New Roman" w:hAnsi="Verdana" w:cs="Times New Roman"/>
          <w:color w:val="000000"/>
          <w:kern w:val="0"/>
          <w:lang w:eastAsia="pl-PL"/>
          <w14:ligatures w14:val="none"/>
        </w:rPr>
        <w:t>Towards</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meaningful</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civil</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society</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participation</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at</w:t>
      </w:r>
      <w:proofErr w:type="spellEnd"/>
      <w:r w:rsidRPr="00F40563">
        <w:rPr>
          <w:rFonts w:ascii="Verdana" w:eastAsia="Times New Roman" w:hAnsi="Verdana" w:cs="Times New Roman"/>
          <w:color w:val="000000"/>
          <w:kern w:val="0"/>
          <w:lang w:eastAsia="pl-PL"/>
          <w14:ligatures w14:val="none"/>
        </w:rPr>
        <w:t xml:space="preserve"> the </w:t>
      </w:r>
      <w:proofErr w:type="spellStart"/>
      <w:r w:rsidRPr="00F40563">
        <w:rPr>
          <w:rFonts w:ascii="Verdana" w:eastAsia="Times New Roman" w:hAnsi="Verdana" w:cs="Times New Roman"/>
          <w:color w:val="000000"/>
          <w:kern w:val="0"/>
          <w:lang w:eastAsia="pl-PL"/>
          <w14:ligatures w14:val="none"/>
        </w:rPr>
        <w:t>international</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level</w:t>
      </w:r>
      <w:proofErr w:type="spellEnd"/>
      <w:r w:rsidRPr="00F40563">
        <w:rPr>
          <w:rFonts w:ascii="Verdana" w:eastAsia="Times New Roman" w:hAnsi="Verdana" w:cs="Times New Roman"/>
          <w:color w:val="000000"/>
          <w:kern w:val="0"/>
          <w:lang w:eastAsia="pl-PL"/>
          <w14:ligatures w14:val="none"/>
        </w:rPr>
        <w:t>”, 2025: </w:t>
      </w:r>
      <w:hyperlink r:id="rId7" w:history="1">
        <w:r w:rsidRPr="00F40563">
          <w:rPr>
            <w:rFonts w:ascii="Verdana" w:eastAsia="Times New Roman" w:hAnsi="Verdana" w:cs="Times New Roman"/>
            <w:color w:val="0000FF"/>
            <w:kern w:val="0"/>
            <w:u w:val="single"/>
            <w:lang w:eastAsia="pl-PL"/>
            <w14:ligatures w14:val="none"/>
          </w:rPr>
          <w:t>https://www.oecd.org/content/dam/oecd/en/publications/reports/2025/01/towards-meaningful-civil-society-participation-at-the-international-level_99c618fe/8ed04dc2-en.pdf</w:t>
        </w:r>
      </w:hyperlink>
      <w:r w:rsidRPr="00F40563">
        <w:rPr>
          <w:rFonts w:ascii="Verdana" w:eastAsia="Times New Roman" w:hAnsi="Verdana" w:cs="Times New Roman"/>
          <w:color w:val="000000"/>
          <w:kern w:val="0"/>
          <w:lang w:eastAsia="pl-PL"/>
          <w14:ligatures w14:val="none"/>
        </w:rPr>
        <w:br/>
        <w:t xml:space="preserve">Rada Europy, </w:t>
      </w:r>
      <w:proofErr w:type="spellStart"/>
      <w:r w:rsidRPr="00F40563">
        <w:rPr>
          <w:rFonts w:ascii="Verdana" w:eastAsia="Times New Roman" w:hAnsi="Verdana" w:cs="Times New Roman"/>
          <w:color w:val="000000"/>
          <w:kern w:val="0"/>
          <w:lang w:eastAsia="pl-PL"/>
          <w14:ligatures w14:val="none"/>
        </w:rPr>
        <w:t>Recommendation</w:t>
      </w:r>
      <w:proofErr w:type="spellEnd"/>
      <w:r w:rsidRPr="00F40563">
        <w:rPr>
          <w:rFonts w:ascii="Verdana" w:eastAsia="Times New Roman" w:hAnsi="Verdana" w:cs="Times New Roman"/>
          <w:color w:val="000000"/>
          <w:kern w:val="0"/>
          <w:lang w:eastAsia="pl-PL"/>
          <w14:ligatures w14:val="none"/>
        </w:rPr>
        <w:t xml:space="preserve"> CM/</w:t>
      </w:r>
      <w:proofErr w:type="spellStart"/>
      <w:r w:rsidRPr="00F40563">
        <w:rPr>
          <w:rFonts w:ascii="Verdana" w:eastAsia="Times New Roman" w:hAnsi="Verdana" w:cs="Times New Roman"/>
          <w:color w:val="000000"/>
          <w:kern w:val="0"/>
          <w:lang w:eastAsia="pl-PL"/>
          <w14:ligatures w14:val="none"/>
        </w:rPr>
        <w:t>Rec</w:t>
      </w:r>
      <w:proofErr w:type="spellEnd"/>
      <w:r w:rsidRPr="00F40563">
        <w:rPr>
          <w:rFonts w:ascii="Verdana" w:eastAsia="Times New Roman" w:hAnsi="Verdana" w:cs="Times New Roman"/>
          <w:color w:val="000000"/>
          <w:kern w:val="0"/>
          <w:lang w:eastAsia="pl-PL"/>
          <w14:ligatures w14:val="none"/>
        </w:rPr>
        <w:t>(2007)14: </w:t>
      </w:r>
      <w:hyperlink r:id="rId8" w:history="1">
        <w:r w:rsidRPr="00F40563">
          <w:rPr>
            <w:rFonts w:ascii="Verdana" w:eastAsia="Times New Roman" w:hAnsi="Verdana" w:cs="Times New Roman"/>
            <w:color w:val="0000FF"/>
            <w:kern w:val="0"/>
            <w:u w:val="single"/>
            <w:lang w:eastAsia="pl-PL"/>
            <w14:ligatures w14:val="none"/>
          </w:rPr>
          <w:t>https://search.coe.int/cm?i=09000016805d534d</w:t>
        </w:r>
      </w:hyperlink>
      <w:r w:rsidRPr="00F40563">
        <w:rPr>
          <w:rFonts w:ascii="Verdana" w:eastAsia="Times New Roman" w:hAnsi="Verdana" w:cs="Times New Roman"/>
          <w:color w:val="000000"/>
          <w:kern w:val="0"/>
          <w:lang w:eastAsia="pl-PL"/>
          <w14:ligatures w14:val="none"/>
        </w:rPr>
        <w:br/>
        <w:t xml:space="preserve">Komisja Europejska, </w:t>
      </w:r>
      <w:proofErr w:type="spellStart"/>
      <w:r w:rsidRPr="00F40563">
        <w:rPr>
          <w:rFonts w:ascii="Verdana" w:eastAsia="Times New Roman" w:hAnsi="Verdana" w:cs="Times New Roman"/>
          <w:color w:val="000000"/>
          <w:kern w:val="0"/>
          <w:lang w:eastAsia="pl-PL"/>
          <w14:ligatures w14:val="none"/>
        </w:rPr>
        <w:t>Social</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Economy</w:t>
      </w:r>
      <w:proofErr w:type="spellEnd"/>
      <w:r w:rsidRPr="00F40563">
        <w:rPr>
          <w:rFonts w:ascii="Verdana" w:eastAsia="Times New Roman" w:hAnsi="Verdana" w:cs="Times New Roman"/>
          <w:color w:val="000000"/>
          <w:kern w:val="0"/>
          <w:lang w:eastAsia="pl-PL"/>
          <w14:ligatures w14:val="none"/>
        </w:rPr>
        <w:t xml:space="preserve"> Action Plan: </w:t>
      </w:r>
      <w:hyperlink r:id="rId9" w:history="1">
        <w:r w:rsidRPr="00F40563">
          <w:rPr>
            <w:rFonts w:ascii="Verdana" w:eastAsia="Times New Roman" w:hAnsi="Verdana" w:cs="Times New Roman"/>
            <w:color w:val="0000FF"/>
            <w:kern w:val="0"/>
            <w:u w:val="single"/>
            <w:lang w:eastAsia="pl-PL"/>
            <w14:ligatures w14:val="none"/>
          </w:rPr>
          <w:t>https://employment-social-affairs.ec.europa.eu/policies-and-activities/eu-employment-policies/social-economy-and-inclusive-entrepreneurship/social-economy-action-plan_en</w:t>
        </w:r>
      </w:hyperlink>
      <w:r w:rsidRPr="00F40563">
        <w:rPr>
          <w:rFonts w:ascii="Verdana" w:eastAsia="Times New Roman" w:hAnsi="Verdana" w:cs="Times New Roman"/>
          <w:color w:val="000000"/>
          <w:kern w:val="0"/>
          <w:lang w:eastAsia="pl-PL"/>
          <w14:ligatures w14:val="none"/>
        </w:rPr>
        <w:br/>
        <w:t xml:space="preserve">Komisja Europejska, </w:t>
      </w:r>
      <w:proofErr w:type="spellStart"/>
      <w:r w:rsidRPr="00F40563">
        <w:rPr>
          <w:rFonts w:ascii="Verdana" w:eastAsia="Times New Roman" w:hAnsi="Verdana" w:cs="Times New Roman"/>
          <w:color w:val="000000"/>
          <w:kern w:val="0"/>
          <w:lang w:eastAsia="pl-PL"/>
          <w14:ligatures w14:val="none"/>
        </w:rPr>
        <w:t>Social</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Economy</w:t>
      </w:r>
      <w:proofErr w:type="spellEnd"/>
      <w:r w:rsidRPr="00F40563">
        <w:rPr>
          <w:rFonts w:ascii="Verdana" w:eastAsia="Times New Roman" w:hAnsi="Verdana" w:cs="Times New Roman"/>
          <w:color w:val="000000"/>
          <w:kern w:val="0"/>
          <w:lang w:eastAsia="pl-PL"/>
          <w14:ligatures w14:val="none"/>
        </w:rPr>
        <w:t xml:space="preserve"> Action Plan, EUR-Lex: </w:t>
      </w:r>
      <w:hyperlink r:id="rId10" w:history="1">
        <w:r w:rsidRPr="00F40563">
          <w:rPr>
            <w:rFonts w:ascii="Verdana" w:eastAsia="Times New Roman" w:hAnsi="Verdana" w:cs="Times New Roman"/>
            <w:color w:val="0000FF"/>
            <w:kern w:val="0"/>
            <w:u w:val="single"/>
            <w:lang w:eastAsia="pl-PL"/>
            <w14:ligatures w14:val="none"/>
          </w:rPr>
          <w:t>https://eur-lex.europa.eu/legal-content/EN/TXT/?uri=CELEX%3A52021DC0778</w:t>
        </w:r>
      </w:hyperlink>
      <w:r w:rsidRPr="00F40563">
        <w:rPr>
          <w:rFonts w:ascii="Verdana" w:eastAsia="Times New Roman" w:hAnsi="Verdana" w:cs="Times New Roman"/>
          <w:color w:val="000000"/>
          <w:kern w:val="0"/>
          <w:lang w:eastAsia="pl-PL"/>
          <w14:ligatures w14:val="none"/>
        </w:rPr>
        <w:br/>
        <w:t>Stowarzyszenie Klon/Jawor, „Kondycja organizacji pozarządowych 2024”: </w:t>
      </w:r>
      <w:hyperlink r:id="rId11" w:history="1">
        <w:r w:rsidRPr="00F40563">
          <w:rPr>
            <w:rFonts w:ascii="Verdana" w:eastAsia="Times New Roman" w:hAnsi="Verdana" w:cs="Times New Roman"/>
            <w:color w:val="0000FF"/>
            <w:kern w:val="0"/>
            <w:u w:val="single"/>
            <w:lang w:eastAsia="pl-PL"/>
            <w14:ligatures w14:val="none"/>
          </w:rPr>
          <w:t>https://fakty.ngo.pl/raporty/kondycja-organizacji-pozarzadowych-2024-bkj</w:t>
        </w:r>
      </w:hyperlink>
      <w:r w:rsidRPr="00F40563">
        <w:rPr>
          <w:rFonts w:ascii="Verdana" w:eastAsia="Times New Roman" w:hAnsi="Verdana" w:cs="Times New Roman"/>
          <w:color w:val="000000"/>
          <w:kern w:val="0"/>
          <w:lang w:eastAsia="pl-PL"/>
          <w14:ligatures w14:val="none"/>
        </w:rPr>
        <w:br/>
        <w:t>GUS, „Działalność organizacji pozarządowych w 2024 r. – wyniki wstępne”: </w:t>
      </w:r>
      <w:hyperlink r:id="rId12" w:history="1">
        <w:r w:rsidRPr="00F40563">
          <w:rPr>
            <w:rFonts w:ascii="Verdana" w:eastAsia="Times New Roman" w:hAnsi="Verdana" w:cs="Times New Roman"/>
            <w:color w:val="0000FF"/>
            <w:kern w:val="0"/>
            <w:u w:val="single"/>
            <w:lang w:eastAsia="pl-PL"/>
            <w14:ligatures w14:val="none"/>
          </w:rPr>
          <w:t>https://stat.gov.pl/files/gfx/portalinformacyjny/pl/defaultaktualnosci/5490/3/11/1/dzialalnosc_organizacji_pozarzadowych_w_2024_r..pdf</w:t>
        </w:r>
      </w:hyperlink>
      <w:r w:rsidRPr="00F40563">
        <w:rPr>
          <w:rFonts w:ascii="Verdana" w:eastAsia="Times New Roman" w:hAnsi="Verdana" w:cs="Times New Roman"/>
          <w:color w:val="000000"/>
          <w:kern w:val="0"/>
          <w:lang w:eastAsia="pl-PL"/>
          <w14:ligatures w14:val="none"/>
        </w:rPr>
        <w:br/>
        <w:t>Public Libraries 2030: </w:t>
      </w:r>
      <w:hyperlink r:id="rId13" w:history="1">
        <w:r w:rsidRPr="00F40563">
          <w:rPr>
            <w:rFonts w:ascii="Verdana" w:eastAsia="Times New Roman" w:hAnsi="Verdana" w:cs="Times New Roman"/>
            <w:color w:val="0000FF"/>
            <w:kern w:val="0"/>
            <w:u w:val="single"/>
            <w:lang w:eastAsia="pl-PL"/>
            <w14:ligatures w14:val="none"/>
          </w:rPr>
          <w:t>https://publiclibraries2030.eu/projects-and-initiatives/</w:t>
        </w:r>
      </w:hyperlink>
      <w:r w:rsidRPr="00F40563">
        <w:rPr>
          <w:rFonts w:ascii="Verdana" w:eastAsia="Times New Roman" w:hAnsi="Verdana" w:cs="Times New Roman"/>
          <w:color w:val="000000"/>
          <w:kern w:val="0"/>
          <w:lang w:eastAsia="pl-PL"/>
          <w14:ligatures w14:val="none"/>
        </w:rPr>
        <w:br/>
        <w:t xml:space="preserve">JRC / </w:t>
      </w:r>
      <w:proofErr w:type="spellStart"/>
      <w:r w:rsidRPr="00F40563">
        <w:rPr>
          <w:rFonts w:ascii="Verdana" w:eastAsia="Times New Roman" w:hAnsi="Verdana" w:cs="Times New Roman"/>
          <w:color w:val="000000"/>
          <w:kern w:val="0"/>
          <w:lang w:eastAsia="pl-PL"/>
          <w14:ligatures w14:val="none"/>
        </w:rPr>
        <w:t>Community</w:t>
      </w:r>
      <w:proofErr w:type="spellEnd"/>
      <w:r w:rsidRPr="00F40563">
        <w:rPr>
          <w:rFonts w:ascii="Verdana" w:eastAsia="Times New Roman" w:hAnsi="Verdana" w:cs="Times New Roman"/>
          <w:color w:val="000000"/>
          <w:kern w:val="0"/>
          <w:lang w:eastAsia="pl-PL"/>
          <w14:ligatures w14:val="none"/>
        </w:rPr>
        <w:t xml:space="preserve"> of </w:t>
      </w:r>
      <w:proofErr w:type="spellStart"/>
      <w:r w:rsidRPr="00F40563">
        <w:rPr>
          <w:rFonts w:ascii="Verdana" w:eastAsia="Times New Roman" w:hAnsi="Verdana" w:cs="Times New Roman"/>
          <w:color w:val="000000"/>
          <w:kern w:val="0"/>
          <w:lang w:eastAsia="pl-PL"/>
          <w14:ligatures w14:val="none"/>
        </w:rPr>
        <w:t>Practice</w:t>
      </w:r>
      <w:proofErr w:type="spellEnd"/>
      <w:r w:rsidRPr="00F40563">
        <w:rPr>
          <w:rFonts w:ascii="Verdana" w:eastAsia="Times New Roman" w:hAnsi="Verdana" w:cs="Times New Roman"/>
          <w:color w:val="000000"/>
          <w:kern w:val="0"/>
          <w:lang w:eastAsia="pl-PL"/>
          <w14:ligatures w14:val="none"/>
        </w:rPr>
        <w:t xml:space="preserve"> on </w:t>
      </w:r>
      <w:proofErr w:type="spellStart"/>
      <w:r w:rsidRPr="00F40563">
        <w:rPr>
          <w:rFonts w:ascii="Verdana" w:eastAsia="Times New Roman" w:hAnsi="Verdana" w:cs="Times New Roman"/>
          <w:color w:val="000000"/>
          <w:kern w:val="0"/>
          <w:lang w:eastAsia="pl-PL"/>
          <w14:ligatures w14:val="none"/>
        </w:rPr>
        <w:t>Citizen</w:t>
      </w:r>
      <w:proofErr w:type="spellEnd"/>
      <w:r w:rsidRPr="00F40563">
        <w:rPr>
          <w:rFonts w:ascii="Verdana" w:eastAsia="Times New Roman" w:hAnsi="Verdana" w:cs="Times New Roman"/>
          <w:color w:val="000000"/>
          <w:kern w:val="0"/>
          <w:lang w:eastAsia="pl-PL"/>
          <w14:ligatures w14:val="none"/>
        </w:rPr>
        <w:t xml:space="preserve"> Engagement, „</w:t>
      </w:r>
      <w:proofErr w:type="spellStart"/>
      <w:r w:rsidRPr="00F40563">
        <w:rPr>
          <w:rFonts w:ascii="Verdana" w:eastAsia="Times New Roman" w:hAnsi="Verdana" w:cs="Times New Roman"/>
          <w:color w:val="000000"/>
          <w:kern w:val="0"/>
          <w:lang w:eastAsia="pl-PL"/>
          <w14:ligatures w14:val="none"/>
        </w:rPr>
        <w:t>Citizen</w:t>
      </w:r>
      <w:proofErr w:type="spellEnd"/>
      <w:r w:rsidRPr="00F40563">
        <w:rPr>
          <w:rFonts w:ascii="Verdana" w:eastAsia="Times New Roman" w:hAnsi="Verdana" w:cs="Times New Roman"/>
          <w:color w:val="000000"/>
          <w:kern w:val="0"/>
          <w:lang w:eastAsia="pl-PL"/>
          <w14:ligatures w14:val="none"/>
        </w:rPr>
        <w:t xml:space="preserve"> engagement in public libraries”: </w:t>
      </w:r>
      <w:hyperlink r:id="rId14" w:history="1">
        <w:r w:rsidRPr="00F40563">
          <w:rPr>
            <w:rFonts w:ascii="Verdana" w:eastAsia="Times New Roman" w:hAnsi="Verdana" w:cs="Times New Roman"/>
            <w:color w:val="0000FF"/>
            <w:kern w:val="0"/>
            <w:u w:val="single"/>
            <w:lang w:eastAsia="pl-PL"/>
            <w14:ligatures w14:val="none"/>
          </w:rPr>
          <w:t>https://cop-demos.jrc.ec.europa.eu/blog/citizen-engagement-public-libraries</w:t>
        </w:r>
      </w:hyperlink>
    </w:p>
    <w:p w14:paraId="675A4460" w14:textId="77777777" w:rsidR="00F40563" w:rsidRPr="00F40563" w:rsidRDefault="00F40563" w:rsidP="00F40563">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F40563">
        <w:rPr>
          <w:rFonts w:ascii="Verdana" w:eastAsia="Times New Roman" w:hAnsi="Verdana" w:cs="Times New Roman"/>
          <w:b/>
          <w:bCs/>
          <w:color w:val="000000"/>
          <w:kern w:val="0"/>
          <w:sz w:val="36"/>
          <w:szCs w:val="36"/>
          <w:lang w:eastAsia="pl-PL"/>
          <w14:ligatures w14:val="none"/>
        </w:rPr>
        <w:lastRenderedPageBreak/>
        <w:t>2. Opis proponowanego działania/interwencji strategicznej</w:t>
      </w:r>
    </w:p>
    <w:p w14:paraId="0CFE11D6"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Proponowane działanie polega na stworzeniu lokalnych polityk lokalowych i infrastrukturalnych dla NGO, które będą określały, w jaki sposób zasoby publiczne mogą być udostępniane na niekomercyjne działania społeczne, obywatelskie i partycypacyjne. Polityki te powinny być przyjmowane przez gminy, powiaty i województwa, z możliwością dostosowania do lokalnej skali, zasobów i potrzeb.</w:t>
      </w:r>
    </w:p>
    <w:p w14:paraId="09FEF4FE"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Działanie powinno obejmować następujące elementy.</w:t>
      </w:r>
    </w:p>
    <w:p w14:paraId="15097B3C"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1. Lokalne polityki lokalowe dla NGO.</w:t>
      </w:r>
      <w:r w:rsidRPr="00F40563">
        <w:rPr>
          <w:rFonts w:ascii="Verdana" w:eastAsia="Times New Roman" w:hAnsi="Verdana" w:cs="Times New Roman"/>
          <w:color w:val="000000"/>
          <w:kern w:val="0"/>
          <w:lang w:eastAsia="pl-PL"/>
          <w14:ligatures w14:val="none"/>
        </w:rPr>
        <w:br/>
        <w:t>Każda gmina i powiat powinny mieć przejrzyste zasady udostępniania lokali NGO, w tym lokali na siedziby, biura, punkty poradnicze, miejsca spotkań, magazyny, przestrzenie wolontariatu i działania środowiskowe. Polityka lokalowa powinna określać kryteria dostępu, tryb naboru, preferencje dla działań niekomercyjnych, zasady odpłatności, możliwość najmu preferencyjnego, użyczenia, współdzielenia przestrzeni i wieloletnich umów dla organizacji prowadzących stałe działania społeczne.</w:t>
      </w:r>
    </w:p>
    <w:p w14:paraId="27C960CD"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2. Społeczne wykorzystanie zasobów publicznych.</w:t>
      </w:r>
      <w:r w:rsidRPr="00F40563">
        <w:rPr>
          <w:rFonts w:ascii="Verdana" w:eastAsia="Times New Roman" w:hAnsi="Verdana" w:cs="Times New Roman"/>
          <w:color w:val="000000"/>
          <w:kern w:val="0"/>
          <w:lang w:eastAsia="pl-PL"/>
          <w14:ligatures w14:val="none"/>
        </w:rPr>
        <w:br/>
        <w:t>Należy wprowadzić zasadę, że niewykorzystane lub częściowo wykorzystywane zasoby publiczne mogą służyć działaniom społecznym, jeśli nie koliduje to z ich podstawową funkcją. Dotyczy to lokali komunalnych, pustostanów, budynków po usługach publicznych, zasobów spółek komunalnych, świetlic, bibliotek, domów kultury, szkół, obiektów sportowych i terenów zielonych.</w:t>
      </w:r>
    </w:p>
    <w:p w14:paraId="73934E32"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3. Wykorzystanie infrastruktury edukacyjnej.</w:t>
      </w:r>
      <w:r w:rsidRPr="00F40563">
        <w:rPr>
          <w:rFonts w:ascii="Verdana" w:eastAsia="Times New Roman" w:hAnsi="Verdana" w:cs="Times New Roman"/>
          <w:color w:val="000000"/>
          <w:kern w:val="0"/>
          <w:lang w:eastAsia="pl-PL"/>
          <w14:ligatures w14:val="none"/>
        </w:rPr>
        <w:br/>
        <w:t>Szkoły i placówki edukacyjne powinny być, przy zachowaniu bezpieczeństwa uczniów i autonomii szkoły, wykorzystywane także jako lokalne centra aktywności po godzinach lekcyjnych. Mogą służyć spotkaniom mieszkańców, działaniom młodzieżowym, edukacji obywatelskiej, klubom rodziców, wolontariatowi, konsultacjom społecznym, zajęciom międzypokoleniowym, wsparciu dzieci i rodzin oraz działaniom NGO. Wymaga to jasnych zasad odpowiedzialności, harmonogramów, opłat, ubezpieczenia, dostępności i współpracy z dyrekcjami.</w:t>
      </w:r>
    </w:p>
    <w:p w14:paraId="752BB711"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lastRenderedPageBreak/>
        <w:t>4. Rozbudowa infrastruktury społecznej o funkcje obywatelskie.</w:t>
      </w:r>
      <w:r w:rsidRPr="00F40563">
        <w:rPr>
          <w:rFonts w:ascii="Verdana" w:eastAsia="Times New Roman" w:hAnsi="Verdana" w:cs="Times New Roman"/>
          <w:color w:val="000000"/>
          <w:kern w:val="0"/>
          <w:lang w:eastAsia="pl-PL"/>
          <w14:ligatures w14:val="none"/>
        </w:rPr>
        <w:br/>
        <w:t>Nowe i modernizowane inwestycje społeczne powinny uwzględniać funkcje obywatelskie już na etapie projektowania. Dotyczy to centrów usług społecznych, domów kultury, bibliotek, szkół, centrów integracji, mieszkań wspomaganych, centrów zdrowia psychicznego, obiektów rewitalizowanych i infrastruktury senioralnej. Powinny powstawać przestrzenie wielofunkcyjne: sale spotkań, punkty pracy NGO, miejsca konsultacji, pokoje poradnictwa, pracownie, przestrzenie debat, miejsca do pracy wspólnej i zaplecze dla wolontariatu.</w:t>
      </w:r>
    </w:p>
    <w:p w14:paraId="291AFE63"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5. Infrastruktura partycypacyjna.</w:t>
      </w:r>
      <w:r w:rsidRPr="00F40563">
        <w:rPr>
          <w:rFonts w:ascii="Verdana" w:eastAsia="Times New Roman" w:hAnsi="Verdana" w:cs="Times New Roman"/>
          <w:color w:val="000000"/>
          <w:kern w:val="0"/>
          <w:lang w:eastAsia="pl-PL"/>
          <w14:ligatures w14:val="none"/>
        </w:rPr>
        <w:br/>
        <w:t>Zasoby publiczne powinny wspierać nie tylko usługi społeczne, ale także demokrację lokalną. Potrzebne są miejsca do konsultacji społecznych, paneli obywatelskich, zebrań mieszkańców, spotkań rad seniorów, młodzieżowych rad, rad działalności pożytku publicznego, komitetów rewitalizacji, grup nieformalnych i partnerstw lokalnych. Infrastruktura partycypacyjna powinna być dostępna, neutralna politycznie, bezpieczna i otwarta dla różnych grup mieszkańców.</w:t>
      </w:r>
    </w:p>
    <w:p w14:paraId="0B9DF582" w14:textId="4978E773"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6. Współdzielenie przestrzeni</w:t>
      </w:r>
      <w:r w:rsidR="009245B1">
        <w:rPr>
          <w:rFonts w:ascii="Verdana" w:eastAsia="Times New Roman" w:hAnsi="Verdana" w:cs="Times New Roman"/>
          <w:b/>
          <w:bCs/>
          <w:color w:val="000000"/>
          <w:kern w:val="0"/>
          <w:lang w:eastAsia="pl-PL"/>
          <w14:ligatures w14:val="none"/>
        </w:rPr>
        <w:t>,</w:t>
      </w:r>
      <w:r w:rsidRPr="00F40563">
        <w:rPr>
          <w:rFonts w:ascii="Verdana" w:eastAsia="Times New Roman" w:hAnsi="Verdana" w:cs="Times New Roman"/>
          <w:b/>
          <w:bCs/>
          <w:color w:val="000000"/>
          <w:kern w:val="0"/>
          <w:lang w:eastAsia="pl-PL"/>
          <w14:ligatures w14:val="none"/>
        </w:rPr>
        <w:t xml:space="preserve"> centra NGO</w:t>
      </w:r>
      <w:r w:rsidR="009245B1">
        <w:rPr>
          <w:rFonts w:ascii="Verdana" w:eastAsia="Times New Roman" w:hAnsi="Verdana" w:cs="Times New Roman"/>
          <w:b/>
          <w:bCs/>
          <w:color w:val="000000"/>
          <w:kern w:val="0"/>
          <w:lang w:eastAsia="pl-PL"/>
          <w14:ligatures w14:val="none"/>
        </w:rPr>
        <w:t xml:space="preserve"> i wolontariatu, huby obywatelskie</w:t>
      </w:r>
      <w:r w:rsidRPr="00F40563">
        <w:rPr>
          <w:rFonts w:ascii="Verdana" w:eastAsia="Times New Roman" w:hAnsi="Verdana" w:cs="Times New Roman"/>
          <w:color w:val="000000"/>
          <w:kern w:val="0"/>
          <w:lang w:eastAsia="pl-PL"/>
          <w14:ligatures w14:val="none"/>
        </w:rPr>
        <w:br/>
        <w:t>W większych miastach i powiatach należy rozwijać centra NGO,</w:t>
      </w:r>
      <w:r w:rsidR="009245B1">
        <w:rPr>
          <w:rFonts w:ascii="Verdana" w:eastAsia="Times New Roman" w:hAnsi="Verdana" w:cs="Times New Roman"/>
          <w:color w:val="000000"/>
          <w:kern w:val="0"/>
          <w:lang w:eastAsia="pl-PL"/>
          <w14:ligatures w14:val="none"/>
        </w:rPr>
        <w:t xml:space="preserve"> wolontariatu,</w:t>
      </w:r>
      <w:r w:rsidRPr="00F40563">
        <w:rPr>
          <w:rFonts w:ascii="Verdana" w:eastAsia="Times New Roman" w:hAnsi="Verdana" w:cs="Times New Roman"/>
          <w:color w:val="000000"/>
          <w:kern w:val="0"/>
          <w:lang w:eastAsia="pl-PL"/>
          <w14:ligatures w14:val="none"/>
        </w:rPr>
        <w:t xml:space="preserve"> inkubatory społeczne, coworkingi obywatelskie i wspólne zaplecza administracyjne. W mniejszych gminach podobną funkcję mogą pełnić biblioteki, domy kultury, szkoły, urzędy, centra usług społecznych lub świetlice. Model współdzielenia zmniejsza koszty, ułatwia współpracę organizacji i lepiej wykorzystuje majątek publiczny.</w:t>
      </w:r>
    </w:p>
    <w:p w14:paraId="44EBFA0E" w14:textId="35C2C064" w:rsidR="00F40563" w:rsidRPr="00F40563" w:rsidRDefault="009245B1"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Pr>
          <w:rFonts w:ascii="Verdana" w:eastAsia="Times New Roman" w:hAnsi="Verdana" w:cs="Times New Roman"/>
          <w:b/>
          <w:bCs/>
          <w:color w:val="000000"/>
          <w:kern w:val="0"/>
          <w:lang w:eastAsia="pl-PL"/>
          <w14:ligatures w14:val="none"/>
        </w:rPr>
        <w:t>7</w:t>
      </w:r>
      <w:r w:rsidR="00F40563" w:rsidRPr="00F40563">
        <w:rPr>
          <w:rFonts w:ascii="Verdana" w:eastAsia="Times New Roman" w:hAnsi="Verdana" w:cs="Times New Roman"/>
          <w:b/>
          <w:bCs/>
          <w:color w:val="000000"/>
          <w:kern w:val="0"/>
          <w:lang w:eastAsia="pl-PL"/>
          <w14:ligatures w14:val="none"/>
        </w:rPr>
        <w:t>. Zasada proporcjonalności.</w:t>
      </w:r>
      <w:r w:rsidR="00F40563" w:rsidRPr="00F40563">
        <w:rPr>
          <w:rFonts w:ascii="Verdana" w:eastAsia="Times New Roman" w:hAnsi="Verdana" w:cs="Times New Roman"/>
          <w:color w:val="000000"/>
          <w:kern w:val="0"/>
          <w:lang w:eastAsia="pl-PL"/>
          <w14:ligatures w14:val="none"/>
        </w:rPr>
        <w:br/>
        <w:t>Procedury korzystania z lokali i infrastruktury powinny być proporcjonalne do skali działania. Inne wymogi powinny dotyczyć małej organizacji prowadzącej spotkanie raz w miesiącu, inne organizacji stale korzystającej z lokalu, a jeszcze inne dużego operatora usług publicznych. Nadmierne wymogi formalne nie powinny wykluczać małych NGO i grup lokalnych z dostępu do zasobów publicznych.</w:t>
      </w:r>
    </w:p>
    <w:p w14:paraId="2BE4B7D0" w14:textId="77777777" w:rsidR="00F40563" w:rsidRPr="00F40563" w:rsidRDefault="00F40563" w:rsidP="00F40563">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F40563">
        <w:rPr>
          <w:rFonts w:ascii="Verdana" w:eastAsia="Times New Roman" w:hAnsi="Verdana" w:cs="Times New Roman"/>
          <w:b/>
          <w:bCs/>
          <w:color w:val="000000"/>
          <w:kern w:val="0"/>
          <w:sz w:val="36"/>
          <w:szCs w:val="36"/>
          <w:lang w:eastAsia="pl-PL"/>
          <w14:ligatures w14:val="none"/>
        </w:rPr>
        <w:t>3. Diagnoza obszaru, w którym proponowane jest działanie/interwencja strategiczna</w:t>
      </w:r>
    </w:p>
    <w:p w14:paraId="006C8068"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lastRenderedPageBreak/>
        <w:t xml:space="preserve">Stabilność instytucjonalna NGO wymaga nie tylko środków finansowych, ale także dostępu do przestrzeni. Brak lokalu, niestabilne warunki najmu, wysokie koszty utrzymania, brak miejsca spotkań, brak przestrzeni do pracy z mieszkańcami i brak dostępu do infrastruktury publicznej ograniczają ciągłość działania organizacji. Dotyczy to szczególnie małych NGO lokalnych, organizacji działających </w:t>
      </w:r>
      <w:proofErr w:type="spellStart"/>
      <w:r w:rsidRPr="00F40563">
        <w:rPr>
          <w:rFonts w:ascii="Verdana" w:eastAsia="Times New Roman" w:hAnsi="Verdana" w:cs="Times New Roman"/>
          <w:color w:val="000000"/>
          <w:kern w:val="0"/>
          <w:lang w:eastAsia="pl-PL"/>
          <w14:ligatures w14:val="none"/>
        </w:rPr>
        <w:t>wolontariacko</w:t>
      </w:r>
      <w:proofErr w:type="spellEnd"/>
      <w:r w:rsidRPr="00F40563">
        <w:rPr>
          <w:rFonts w:ascii="Verdana" w:eastAsia="Times New Roman" w:hAnsi="Verdana" w:cs="Times New Roman"/>
          <w:color w:val="000000"/>
          <w:kern w:val="0"/>
          <w:lang w:eastAsia="pl-PL"/>
          <w14:ligatures w14:val="none"/>
        </w:rPr>
        <w:t xml:space="preserve">, organizacji </w:t>
      </w:r>
      <w:proofErr w:type="spellStart"/>
      <w:r w:rsidRPr="00F40563">
        <w:rPr>
          <w:rFonts w:ascii="Verdana" w:eastAsia="Times New Roman" w:hAnsi="Verdana" w:cs="Times New Roman"/>
          <w:color w:val="000000"/>
          <w:kern w:val="0"/>
          <w:lang w:eastAsia="pl-PL"/>
          <w14:ligatures w14:val="none"/>
        </w:rPr>
        <w:t>rzeczniczych</w:t>
      </w:r>
      <w:proofErr w:type="spellEnd"/>
      <w:r w:rsidRPr="00F40563">
        <w:rPr>
          <w:rFonts w:ascii="Verdana" w:eastAsia="Times New Roman" w:hAnsi="Verdana" w:cs="Times New Roman"/>
          <w:color w:val="000000"/>
          <w:kern w:val="0"/>
          <w:lang w:eastAsia="pl-PL"/>
          <w14:ligatures w14:val="none"/>
        </w:rPr>
        <w:t xml:space="preserve">, samopomocowych, młodzieżowych, senioralnych, kobiecych, </w:t>
      </w:r>
      <w:proofErr w:type="spellStart"/>
      <w:r w:rsidRPr="00F40563">
        <w:rPr>
          <w:rFonts w:ascii="Verdana" w:eastAsia="Times New Roman" w:hAnsi="Verdana" w:cs="Times New Roman"/>
          <w:color w:val="000000"/>
          <w:kern w:val="0"/>
          <w:lang w:eastAsia="pl-PL"/>
          <w14:ligatures w14:val="none"/>
        </w:rPr>
        <w:t>antyprzemocowych</w:t>
      </w:r>
      <w:proofErr w:type="spellEnd"/>
      <w:r w:rsidRPr="00F40563">
        <w:rPr>
          <w:rFonts w:ascii="Verdana" w:eastAsia="Times New Roman" w:hAnsi="Verdana" w:cs="Times New Roman"/>
          <w:color w:val="000000"/>
          <w:kern w:val="0"/>
          <w:lang w:eastAsia="pl-PL"/>
          <w14:ligatures w14:val="none"/>
        </w:rPr>
        <w:t xml:space="preserve"> i pracujących z osobami w kryzysie.</w:t>
      </w:r>
    </w:p>
    <w:p w14:paraId="5D86C117"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Polski sektor NGO jest liczny i zróżnicowany. GUS wskazuje, że w 2024 r. w organizacjach pozarządowych zatrudnionych było 214,3 tys. osób na podstawie stosunku pracy, z czego dla 177,1 tys. osób było to główne miejsce pracy. Jednocześnie znacząca część sektora korzysta z pracy społecznej i wolontariatu. Oznacza to, że NGO pełnią zarówno funkcję pracodawców i operatorów usług, jak i miejsc aktywności obywatelskiej, </w:t>
      </w:r>
      <w:proofErr w:type="spellStart"/>
      <w:r w:rsidRPr="00F40563">
        <w:rPr>
          <w:rFonts w:ascii="Verdana" w:eastAsia="Times New Roman" w:hAnsi="Verdana" w:cs="Times New Roman"/>
          <w:color w:val="000000"/>
          <w:kern w:val="0"/>
          <w:lang w:eastAsia="pl-PL"/>
          <w14:ligatures w14:val="none"/>
        </w:rPr>
        <w:t>wolontariackiej</w:t>
      </w:r>
      <w:proofErr w:type="spellEnd"/>
      <w:r w:rsidRPr="00F40563">
        <w:rPr>
          <w:rFonts w:ascii="Verdana" w:eastAsia="Times New Roman" w:hAnsi="Verdana" w:cs="Times New Roman"/>
          <w:color w:val="000000"/>
          <w:kern w:val="0"/>
          <w:lang w:eastAsia="pl-PL"/>
          <w14:ligatures w14:val="none"/>
        </w:rPr>
        <w:t xml:space="preserve"> i wspólnotowej. Obie te funkcje wymagają dostępu do przestrzeni.</w:t>
      </w:r>
    </w:p>
    <w:p w14:paraId="15AA68C0"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Badanie Klon/Jawor „Kondycja organizacji pozarządowych” pokazuje, że sektor NGO mierzy się z trwałymi problemami finansowymi i organizacyjnymi. W takich warunkach koszt lokalu może być dla wielu organizacji barierą uniemożliwiającą stabilne działanie. Poradnik ngo.pl dotyczący lokali wskazuje praktycznie, że własny lokal oznacza stałe koszty ponoszone niezależnie od tego, czy organizacja ma w danym momencie środki. Dlatego dostęp do zasobów publicznych, współdzielonych przestrzeni i preferencyjnych warunków lokalowych ma znaczenie systemowe, a nie wyłącznie techniczne.</w:t>
      </w:r>
    </w:p>
    <w:p w14:paraId="45814113"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Z perspektywy OECD przestrzeń obywatelska to warunki, które umożliwiają aktorom pozarządowym udział w życiu publicznym. Warunki te obejmują nie tylko wolności formalne, ale także praktyczną zdolność organizacji do spotykania się, działania, komunikowania z mieszkańcami i uczestniczenia w procesach publicznych. Brak dostępnych miejsc dla działań społecznych ogranicza realny </w:t>
      </w:r>
      <w:proofErr w:type="spellStart"/>
      <w:r w:rsidRPr="00F40563">
        <w:rPr>
          <w:rFonts w:ascii="Verdana" w:eastAsia="Times New Roman" w:hAnsi="Verdana" w:cs="Times New Roman"/>
          <w:color w:val="000000"/>
          <w:kern w:val="0"/>
          <w:lang w:eastAsia="pl-PL"/>
          <w14:ligatures w14:val="none"/>
        </w:rPr>
        <w:t>civic</w:t>
      </w:r>
      <w:proofErr w:type="spellEnd"/>
      <w:r w:rsidRPr="00F40563">
        <w:rPr>
          <w:rFonts w:ascii="Verdana" w:eastAsia="Times New Roman" w:hAnsi="Verdana" w:cs="Times New Roman"/>
          <w:color w:val="000000"/>
          <w:kern w:val="0"/>
          <w:lang w:eastAsia="pl-PL"/>
          <w14:ligatures w14:val="none"/>
        </w:rPr>
        <w:t xml:space="preserve"> </w:t>
      </w:r>
      <w:proofErr w:type="spellStart"/>
      <w:r w:rsidRPr="00F40563">
        <w:rPr>
          <w:rFonts w:ascii="Verdana" w:eastAsia="Times New Roman" w:hAnsi="Verdana" w:cs="Times New Roman"/>
          <w:color w:val="000000"/>
          <w:kern w:val="0"/>
          <w:lang w:eastAsia="pl-PL"/>
          <w14:ligatures w14:val="none"/>
        </w:rPr>
        <w:t>space</w:t>
      </w:r>
      <w:proofErr w:type="spellEnd"/>
      <w:r w:rsidRPr="00F40563">
        <w:rPr>
          <w:rFonts w:ascii="Verdana" w:eastAsia="Times New Roman" w:hAnsi="Verdana" w:cs="Times New Roman"/>
          <w:color w:val="000000"/>
          <w:kern w:val="0"/>
          <w:lang w:eastAsia="pl-PL"/>
          <w14:ligatures w14:val="none"/>
        </w:rPr>
        <w:t xml:space="preserve"> na poziomie lokalnym.</w:t>
      </w:r>
    </w:p>
    <w:p w14:paraId="0AAA6001"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Rada Europy w rekomendacji CM/</w:t>
      </w:r>
      <w:proofErr w:type="spellStart"/>
      <w:proofErr w:type="gramStart"/>
      <w:r w:rsidRPr="00F40563">
        <w:rPr>
          <w:rFonts w:ascii="Verdana" w:eastAsia="Times New Roman" w:hAnsi="Verdana" w:cs="Times New Roman"/>
          <w:color w:val="000000"/>
          <w:kern w:val="0"/>
          <w:lang w:eastAsia="pl-PL"/>
          <w14:ligatures w14:val="none"/>
        </w:rPr>
        <w:t>Rec</w:t>
      </w:r>
      <w:proofErr w:type="spellEnd"/>
      <w:r w:rsidRPr="00F40563">
        <w:rPr>
          <w:rFonts w:ascii="Verdana" w:eastAsia="Times New Roman" w:hAnsi="Verdana" w:cs="Times New Roman"/>
          <w:color w:val="000000"/>
          <w:kern w:val="0"/>
          <w:lang w:eastAsia="pl-PL"/>
          <w14:ligatures w14:val="none"/>
        </w:rPr>
        <w:t>(</w:t>
      </w:r>
      <w:proofErr w:type="gramEnd"/>
      <w:r w:rsidRPr="00F40563">
        <w:rPr>
          <w:rFonts w:ascii="Verdana" w:eastAsia="Times New Roman" w:hAnsi="Verdana" w:cs="Times New Roman"/>
          <w:color w:val="000000"/>
          <w:kern w:val="0"/>
          <w:lang w:eastAsia="pl-PL"/>
          <w14:ligatures w14:val="none"/>
        </w:rPr>
        <w:t xml:space="preserve">2007)14 podkreśla znaczenie sprzyjających ram prawnych dla NGO w Europie. W praktyce takie ramy powinny obejmować również lokalne warunki działania: dostęp do lokali, możliwość korzystania z majątku, przejrzyste zasady współpracy z władzami publicznymi i brak arbitralności w udostępnianiu zasobów. Samo prawo do tworzenia organizacji jest niewystarczające, jeżeli organizacje nie </w:t>
      </w:r>
      <w:proofErr w:type="gramStart"/>
      <w:r w:rsidRPr="00F40563">
        <w:rPr>
          <w:rFonts w:ascii="Verdana" w:eastAsia="Times New Roman" w:hAnsi="Verdana" w:cs="Times New Roman"/>
          <w:color w:val="000000"/>
          <w:kern w:val="0"/>
          <w:lang w:eastAsia="pl-PL"/>
          <w14:ligatures w14:val="none"/>
        </w:rPr>
        <w:t>mają</w:t>
      </w:r>
      <w:proofErr w:type="gramEnd"/>
      <w:r w:rsidRPr="00F40563">
        <w:rPr>
          <w:rFonts w:ascii="Verdana" w:eastAsia="Times New Roman" w:hAnsi="Verdana" w:cs="Times New Roman"/>
          <w:color w:val="000000"/>
          <w:kern w:val="0"/>
          <w:lang w:eastAsia="pl-PL"/>
          <w14:ligatures w14:val="none"/>
        </w:rPr>
        <w:t xml:space="preserve"> gdzie działać.</w:t>
      </w:r>
    </w:p>
    <w:p w14:paraId="4531C1A2"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lastRenderedPageBreak/>
        <w:t>Komisja Europejska w Planie działania na rzecz gospodarki społecznej wskazuje, że dla rozwoju podmiotów społecznych ważne są dobre warunki ramowe, uznanie, widoczność, dostęp do finansowania, rynków i wsparcia. Plan zachęca także państwa członkowskie do rozwijania lokalnych punktów kontaktowych dla ekonomii społecznej. Wnioski te można odnieść szerzej do NGO: lokalne wsparcie powinno obejmować nie tylko informację i doradztwo, ale także dostęp do miejsc działania i zasobów publicznych.</w:t>
      </w:r>
    </w:p>
    <w:p w14:paraId="20DE3154"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Istotne są także przykłady europejskie dotyczące bibliotek i szkół jako infrastruktury społecznej. Public Libraries 2030 wskazuje, że biblioteki są dobrze usytuowane, aby wzmacniać świadomość obywatelską, kompetencje cyfrowe, partycypację i zaangażowanie mieszkańców. Materiały JRC dotyczące zaangażowania obywatelskiego w bibliotekach pokazują przykłady wykorzystywania bibliotek jako miejsc debat, zgromadzeń obywatelskich i działań partycypacyjnych. Podobnie badania nad szkołami jako infrastrukturą społeczną wskazują, że szkoły mogą pełnić funkcje społecznościowe, edukacyjne i regeneracyjne poza tradycyjnymi godzinami nauki.</w:t>
      </w:r>
    </w:p>
    <w:p w14:paraId="07173651"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W Polsce wiele inwestycji publicznych nadal projektuje się sektorowo: szkoła jako miejsce nauczania, biblioteka jako miejsce książek, dom kultury jako miejsce wydarzeń, urząd jako miejsce obsługi administracyjnej. Tymczasem współczesne potrzeby społeczne wymagają infrastruktury wielofunkcyjnej. Tam, gdzie brakuje miejsc spotkań i biur dla NGO, publiczne budynki powinny być wykorzystywane bardziej efektywnie, z poszanowaniem ich podstawowej funkcji.</w:t>
      </w:r>
    </w:p>
    <w:p w14:paraId="208B69E4"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Brak lokalnych polityk lokalowych prowadzi do uznaniowości. Organizacje nie zawsze wiedzą, na jakich zasadach mogą korzystać z lokali, kiedy mogą otrzymać preferencyjny czynsz, kto decyduje o dostępie, jakie są kryteria, czy możliwe jest użyczenie, czy lokal może być współdzielony i jak rozliczać koszty. Przejrzysta polityka lokalowa zwiększa zaufanie, ogranicza arbitralność i pozwala lepiej zarządzać majątkiem publicznym.</w:t>
      </w:r>
    </w:p>
    <w:p w14:paraId="1F6A069A"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Problem ma także wymiar równościowy. Organizacje działające na rzecz kobiet doświadczających przemocy, osób z niepełnosprawnościami, migrantów, dzieci, młodzieży, seniorów, osób LGBTQ+, osób w kryzysie psychicznym lub bezdomności potrzebują bezpiecznych, dostępnych i niekomercyjnych przestrzeni. Brak takiej przestrzeni ogranicza możliwość prowadzenia wsparcia, samopomocy, poradnictwa i działań środowiskowych. Szczególnie kobiety i osoby doświadczające przemocy </w:t>
      </w:r>
      <w:r w:rsidRPr="00F40563">
        <w:rPr>
          <w:rFonts w:ascii="Verdana" w:eastAsia="Times New Roman" w:hAnsi="Verdana" w:cs="Times New Roman"/>
          <w:color w:val="000000"/>
          <w:kern w:val="0"/>
          <w:lang w:eastAsia="pl-PL"/>
          <w14:ligatures w14:val="none"/>
        </w:rPr>
        <w:lastRenderedPageBreak/>
        <w:t>potrzebują miejsc zapewniających prywatność, bezpieczeństwo i łatwy dostęp.</w:t>
      </w:r>
    </w:p>
    <w:p w14:paraId="418C1351" w14:textId="77777777" w:rsidR="00F40563" w:rsidRPr="00F40563" w:rsidRDefault="00F40563" w:rsidP="00F40563">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F40563">
        <w:rPr>
          <w:rFonts w:ascii="Verdana" w:eastAsia="Times New Roman" w:hAnsi="Verdana" w:cs="Times New Roman"/>
          <w:b/>
          <w:bCs/>
          <w:color w:val="000000"/>
          <w:kern w:val="0"/>
          <w:sz w:val="36"/>
          <w:szCs w:val="36"/>
          <w:lang w:eastAsia="pl-PL"/>
          <w14:ligatures w14:val="none"/>
        </w:rPr>
        <w:t>4. Wnioski płynące z diagnozy</w:t>
      </w:r>
    </w:p>
    <w:p w14:paraId="35CDEE4E"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1. Lokal i dostęp do infrastruktury są elementem stabilności instytucjonalnej NGO, a nie wyłącznie kwestią techniczną.</w:t>
      </w:r>
      <w:r w:rsidRPr="00F40563">
        <w:rPr>
          <w:rFonts w:ascii="Verdana" w:eastAsia="Times New Roman" w:hAnsi="Verdana" w:cs="Times New Roman"/>
          <w:color w:val="000000"/>
          <w:kern w:val="0"/>
          <w:lang w:eastAsia="pl-PL"/>
          <w14:ligatures w14:val="none"/>
        </w:rPr>
        <w:br/>
        <w:t>Organizacja bez stabilnego miejsca działania ma ograniczoną zdolność do pracy z mieszkańcami, prowadzenia usług, wolontariatu, poradnictwa, spotkań, rzecznictwa i partycypacji. Wsparcie lokalowe powinno być traktowane jako część polityki rozwoju społeczeństwa obywatelskiego.</w:t>
      </w:r>
    </w:p>
    <w:p w14:paraId="383C050C"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2. Potrzebne są lokalne polityki lokalowe dla NGO, aby ograniczyć uznaniowość i nierówny dostęp do zasobów.</w:t>
      </w:r>
      <w:r w:rsidRPr="00F40563">
        <w:rPr>
          <w:rFonts w:ascii="Verdana" w:eastAsia="Times New Roman" w:hAnsi="Verdana" w:cs="Times New Roman"/>
          <w:color w:val="000000"/>
          <w:kern w:val="0"/>
          <w:lang w:eastAsia="pl-PL"/>
          <w14:ligatures w14:val="none"/>
        </w:rPr>
        <w:br/>
        <w:t>Gminy, powiaty i województwa powinny przyjmować przejrzyste zasady udostępniania lokali i infrastruktury publicznej na cele społeczne. Kryteria powinny premiować działania niekomercyjne, dostępność dla mieszkańców, pracę z grupami w trudniejszej sytuacji, partnerstwa lokalne i trwałość działań.</w:t>
      </w:r>
    </w:p>
    <w:p w14:paraId="719A679C"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3. Zasoby publiczne powinny być wykorzystywane efektywniej jako infrastruktura społeczna i obywatelska.</w:t>
      </w:r>
      <w:r w:rsidRPr="00F40563">
        <w:rPr>
          <w:rFonts w:ascii="Verdana" w:eastAsia="Times New Roman" w:hAnsi="Verdana" w:cs="Times New Roman"/>
          <w:color w:val="000000"/>
          <w:kern w:val="0"/>
          <w:lang w:eastAsia="pl-PL"/>
          <w14:ligatures w14:val="none"/>
        </w:rPr>
        <w:br/>
        <w:t>Szkoły, biblioteki, domy kultury, świetlice, centra usług społecznych, lokale komunalne i obiekty sportowe mogą pełnić funkcje społeczne także poza podstawową działalnością instytucji. Wymaga to jasnych zasad, harmonogramów, odpowiedzialności, bezpieczeństwa i finansowania kosztów eksploatacyjnych.</w:t>
      </w:r>
    </w:p>
    <w:p w14:paraId="4B85CC19"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4. Nowa i modernizowana infrastruktura społeczna powinna mieć funkcje obywatelskie.</w:t>
      </w:r>
      <w:r w:rsidRPr="00F40563">
        <w:rPr>
          <w:rFonts w:ascii="Verdana" w:eastAsia="Times New Roman" w:hAnsi="Verdana" w:cs="Times New Roman"/>
          <w:color w:val="000000"/>
          <w:kern w:val="0"/>
          <w:lang w:eastAsia="pl-PL"/>
          <w14:ligatures w14:val="none"/>
        </w:rPr>
        <w:br/>
        <w:t>Inwestycje publiczne powinny już na etapie projektowania uwzględniać miejsca dla NGO, wolontariatu, konsultacji, debat, działań partycypacyjnych, samopomocy, edukacji obywatelskiej i integracji międzypokoleniowej. Pozwoli to uniknąć budowania infrastruktury zamkniętej, sektorowej i niedostępnej dla społeczności.</w:t>
      </w:r>
    </w:p>
    <w:p w14:paraId="66F3C1A8"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5. Polityka lokalowa musi być proporcjonalna i dostępna także dla małych NGO oraz grup lokalnych.</w:t>
      </w:r>
      <w:r w:rsidRPr="00F40563">
        <w:rPr>
          <w:rFonts w:ascii="Verdana" w:eastAsia="Times New Roman" w:hAnsi="Verdana" w:cs="Times New Roman"/>
          <w:color w:val="000000"/>
          <w:kern w:val="0"/>
          <w:lang w:eastAsia="pl-PL"/>
          <w14:ligatures w14:val="none"/>
        </w:rPr>
        <w:br/>
        <w:t xml:space="preserve">Procedury, opłaty, ubezpieczenia, wymogi dokumentacyjne i sprawozdawcze powinny być dostosowane do skali działania i ryzyka. Inne wymogi powinny dotyczyć jednorazowego spotkania mieszkańców, inne </w:t>
      </w:r>
      <w:r w:rsidRPr="00F40563">
        <w:rPr>
          <w:rFonts w:ascii="Verdana" w:eastAsia="Times New Roman" w:hAnsi="Verdana" w:cs="Times New Roman"/>
          <w:color w:val="000000"/>
          <w:kern w:val="0"/>
          <w:lang w:eastAsia="pl-PL"/>
          <w14:ligatures w14:val="none"/>
        </w:rPr>
        <w:lastRenderedPageBreak/>
        <w:t>stałego prowadzenia punktu poradniczego, a inne wieloletniego użytkowania lokalu przez operatora usług publicznych.</w:t>
      </w:r>
    </w:p>
    <w:p w14:paraId="30593D6C" w14:textId="77777777" w:rsidR="00F40563" w:rsidRPr="00F40563" w:rsidRDefault="00F40563" w:rsidP="00F40563">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F40563">
        <w:rPr>
          <w:rFonts w:ascii="Verdana" w:eastAsia="Times New Roman" w:hAnsi="Verdana" w:cs="Times New Roman"/>
          <w:b/>
          <w:bCs/>
          <w:color w:val="000000"/>
          <w:kern w:val="0"/>
          <w:sz w:val="36"/>
          <w:szCs w:val="36"/>
          <w:lang w:eastAsia="pl-PL"/>
          <w14:ligatures w14:val="none"/>
        </w:rPr>
        <w:t>5. Przewidywane efekty działania/interwencji strategicznej oraz wpływ na inne podmioty funkcjonujące w obszarze interwencji</w:t>
      </w:r>
    </w:p>
    <w:p w14:paraId="6A962795"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Wdrożenie działania powinno zwiększyć stabilność instytucjonalną NGO i poprawić dostęp mieszkańców do działań społecznych, obywatelskich i partycypacyjnych.</w:t>
      </w:r>
    </w:p>
    <w:p w14:paraId="1D7966AF"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Efekty dla NGO:</w:t>
      </w:r>
    </w:p>
    <w:p w14:paraId="5564FC19" w14:textId="369489A3"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Większa </w:t>
      </w:r>
      <w:r w:rsidR="00F40563" w:rsidRPr="00F40563">
        <w:rPr>
          <w:rFonts w:ascii="Verdana" w:eastAsia="Times New Roman" w:hAnsi="Verdana" w:cs="Times New Roman"/>
          <w:color w:val="000000"/>
          <w:kern w:val="0"/>
          <w:lang w:eastAsia="pl-PL"/>
          <w14:ligatures w14:val="none"/>
        </w:rPr>
        <w:t>stabilność działania dzięki dostępowi do lokali, biur i miejsc spotkań;</w:t>
      </w:r>
    </w:p>
    <w:p w14:paraId="1E283196" w14:textId="3B1364D2"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Zmniejszenie </w:t>
      </w:r>
      <w:r w:rsidR="00F40563" w:rsidRPr="00F40563">
        <w:rPr>
          <w:rFonts w:ascii="Verdana" w:eastAsia="Times New Roman" w:hAnsi="Verdana" w:cs="Times New Roman"/>
          <w:color w:val="000000"/>
          <w:kern w:val="0"/>
          <w:lang w:eastAsia="pl-PL"/>
          <w14:ligatures w14:val="none"/>
        </w:rPr>
        <w:t>kosztów stałych, szczególnie dla małych i lokalnych NGO;</w:t>
      </w:r>
    </w:p>
    <w:p w14:paraId="07030D8E" w14:textId="59D2FAC9"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Większa </w:t>
      </w:r>
      <w:r w:rsidR="00F40563" w:rsidRPr="00F40563">
        <w:rPr>
          <w:rFonts w:ascii="Verdana" w:eastAsia="Times New Roman" w:hAnsi="Verdana" w:cs="Times New Roman"/>
          <w:color w:val="000000"/>
          <w:kern w:val="0"/>
          <w:lang w:eastAsia="pl-PL"/>
          <w14:ligatures w14:val="none"/>
        </w:rPr>
        <w:t>możliwość prowadzenia działań ciągłych, a nie tylko projektowych;</w:t>
      </w:r>
    </w:p>
    <w:p w14:paraId="1B2BADB2" w14:textId="2AACA1C4"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Lepsze </w:t>
      </w:r>
      <w:r w:rsidR="00F40563" w:rsidRPr="00F40563">
        <w:rPr>
          <w:rFonts w:ascii="Verdana" w:eastAsia="Times New Roman" w:hAnsi="Verdana" w:cs="Times New Roman"/>
          <w:color w:val="000000"/>
          <w:kern w:val="0"/>
          <w:lang w:eastAsia="pl-PL"/>
          <w14:ligatures w14:val="none"/>
        </w:rPr>
        <w:t>warunki do wolontariatu, pracy zespołów, poradnictwa i usług społecznych;</w:t>
      </w:r>
    </w:p>
    <w:p w14:paraId="75B34679" w14:textId="503FE14E"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Większa </w:t>
      </w:r>
      <w:r w:rsidR="00F40563" w:rsidRPr="00F40563">
        <w:rPr>
          <w:rFonts w:ascii="Verdana" w:eastAsia="Times New Roman" w:hAnsi="Verdana" w:cs="Times New Roman"/>
          <w:color w:val="000000"/>
          <w:kern w:val="0"/>
          <w:lang w:eastAsia="pl-PL"/>
          <w14:ligatures w14:val="none"/>
        </w:rPr>
        <w:t xml:space="preserve">dostępność przestrzeni dla działań </w:t>
      </w:r>
      <w:proofErr w:type="spellStart"/>
      <w:r w:rsidR="00F40563" w:rsidRPr="00F40563">
        <w:rPr>
          <w:rFonts w:ascii="Verdana" w:eastAsia="Times New Roman" w:hAnsi="Verdana" w:cs="Times New Roman"/>
          <w:color w:val="000000"/>
          <w:kern w:val="0"/>
          <w:lang w:eastAsia="pl-PL"/>
          <w14:ligatures w14:val="none"/>
        </w:rPr>
        <w:t>rzeczniczych</w:t>
      </w:r>
      <w:proofErr w:type="spellEnd"/>
      <w:r w:rsidR="00F40563" w:rsidRPr="00F40563">
        <w:rPr>
          <w:rFonts w:ascii="Verdana" w:eastAsia="Times New Roman" w:hAnsi="Verdana" w:cs="Times New Roman"/>
          <w:color w:val="000000"/>
          <w:kern w:val="0"/>
          <w:lang w:eastAsia="pl-PL"/>
          <w14:ligatures w14:val="none"/>
        </w:rPr>
        <w:t>, samopomocowych i partycypacyjnych;</w:t>
      </w:r>
    </w:p>
    <w:p w14:paraId="79A394BA" w14:textId="25842F91"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Rozwój </w:t>
      </w:r>
      <w:r w:rsidR="00F40563" w:rsidRPr="00F40563">
        <w:rPr>
          <w:rFonts w:ascii="Verdana" w:eastAsia="Times New Roman" w:hAnsi="Verdana" w:cs="Times New Roman"/>
          <w:color w:val="000000"/>
          <w:kern w:val="0"/>
          <w:lang w:eastAsia="pl-PL"/>
          <w14:ligatures w14:val="none"/>
        </w:rPr>
        <w:t>współpracy między organizacjami dzięki przestrzeniom współdzielonym;</w:t>
      </w:r>
    </w:p>
    <w:p w14:paraId="138D9EAE" w14:textId="34890B9C" w:rsidR="00F40563" w:rsidRPr="00F40563" w:rsidRDefault="00FB0992" w:rsidP="00F40563">
      <w:pPr>
        <w:numPr>
          <w:ilvl w:val="0"/>
          <w:numId w:val="1"/>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Większa </w:t>
      </w:r>
      <w:r w:rsidR="00F40563" w:rsidRPr="00F40563">
        <w:rPr>
          <w:rFonts w:ascii="Verdana" w:eastAsia="Times New Roman" w:hAnsi="Verdana" w:cs="Times New Roman"/>
          <w:color w:val="000000"/>
          <w:kern w:val="0"/>
          <w:lang w:eastAsia="pl-PL"/>
          <w14:ligatures w14:val="none"/>
        </w:rPr>
        <w:t>obecność NGO w mniejszych miejscowościach i dzielnicach oddalonych od centrów miast.</w:t>
      </w:r>
    </w:p>
    <w:p w14:paraId="3B0D3D79"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Efekty dla mieszkańców:</w:t>
      </w:r>
    </w:p>
    <w:p w14:paraId="05FC10A5" w14:textId="7867B63A" w:rsidR="00F40563" w:rsidRPr="00F40563" w:rsidRDefault="00FB0992" w:rsidP="00F40563">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Łatwiejszy </w:t>
      </w:r>
      <w:r w:rsidR="00F40563" w:rsidRPr="00F40563">
        <w:rPr>
          <w:rFonts w:ascii="Verdana" w:eastAsia="Times New Roman" w:hAnsi="Verdana" w:cs="Times New Roman"/>
          <w:color w:val="000000"/>
          <w:kern w:val="0"/>
          <w:lang w:eastAsia="pl-PL"/>
          <w14:ligatures w14:val="none"/>
        </w:rPr>
        <w:t>dostęp do wsparcia społecznego, poradnictwa, edukacji i aktywności obywatelskiej;</w:t>
      </w:r>
    </w:p>
    <w:p w14:paraId="32173A92" w14:textId="0CAEDD57" w:rsidR="00F40563" w:rsidRPr="00F40563" w:rsidRDefault="00FB0992" w:rsidP="00F40563">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Więcej </w:t>
      </w:r>
      <w:r w:rsidR="00F40563" w:rsidRPr="00F40563">
        <w:rPr>
          <w:rFonts w:ascii="Verdana" w:eastAsia="Times New Roman" w:hAnsi="Verdana" w:cs="Times New Roman"/>
          <w:color w:val="000000"/>
          <w:kern w:val="0"/>
          <w:lang w:eastAsia="pl-PL"/>
          <w14:ligatures w14:val="none"/>
        </w:rPr>
        <w:t>miejsc spotkań, debat, konsultacji i działań wspólnotowych;</w:t>
      </w:r>
    </w:p>
    <w:p w14:paraId="402EC875" w14:textId="355C9747" w:rsidR="00F40563" w:rsidRPr="00F40563" w:rsidRDefault="00FB0992" w:rsidP="00F40563">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Lepsze </w:t>
      </w:r>
      <w:r w:rsidR="00F40563" w:rsidRPr="00F40563">
        <w:rPr>
          <w:rFonts w:ascii="Verdana" w:eastAsia="Times New Roman" w:hAnsi="Verdana" w:cs="Times New Roman"/>
          <w:color w:val="000000"/>
          <w:kern w:val="0"/>
          <w:lang w:eastAsia="pl-PL"/>
          <w14:ligatures w14:val="none"/>
        </w:rPr>
        <w:t>wykorzystanie lokalnych szkół, bibliotek, świetlic i domów kultury;</w:t>
      </w:r>
    </w:p>
    <w:p w14:paraId="5DCD0D0A" w14:textId="58F335D3" w:rsidR="00F40563" w:rsidRPr="00F40563" w:rsidRDefault="00FB0992" w:rsidP="00F40563">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Większe </w:t>
      </w:r>
      <w:r w:rsidR="00F40563" w:rsidRPr="00F40563">
        <w:rPr>
          <w:rFonts w:ascii="Verdana" w:eastAsia="Times New Roman" w:hAnsi="Verdana" w:cs="Times New Roman"/>
          <w:color w:val="000000"/>
          <w:kern w:val="0"/>
          <w:lang w:eastAsia="pl-PL"/>
          <w14:ligatures w14:val="none"/>
        </w:rPr>
        <w:t>bezpieczeństwo i dostępność działań dla osób z niepełnosprawnościami, seniorów, rodziców z dziećmi i osób w kryzysie;</w:t>
      </w:r>
    </w:p>
    <w:p w14:paraId="1E7A1EFD" w14:textId="066EAE74" w:rsidR="00F40563" w:rsidRPr="00F40563" w:rsidRDefault="00FB0992" w:rsidP="00F40563">
      <w:pPr>
        <w:numPr>
          <w:ilvl w:val="0"/>
          <w:numId w:val="2"/>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Wzmocnienie </w:t>
      </w:r>
      <w:r w:rsidR="00F40563" w:rsidRPr="00F40563">
        <w:rPr>
          <w:rFonts w:ascii="Verdana" w:eastAsia="Times New Roman" w:hAnsi="Verdana" w:cs="Times New Roman"/>
          <w:color w:val="000000"/>
          <w:kern w:val="0"/>
          <w:lang w:eastAsia="pl-PL"/>
          <w14:ligatures w14:val="none"/>
        </w:rPr>
        <w:t>więzi społecznych, zaufania i odporności lokalnej.</w:t>
      </w:r>
    </w:p>
    <w:p w14:paraId="4E038808"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lastRenderedPageBreak/>
        <w:t>Efekty dla administracji publicznej i samorządów:</w:t>
      </w:r>
    </w:p>
    <w:p w14:paraId="7886769E" w14:textId="03D443D2"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Bardziej </w:t>
      </w:r>
      <w:r w:rsidR="00F40563" w:rsidRPr="00F40563">
        <w:rPr>
          <w:rFonts w:ascii="Verdana" w:eastAsia="Times New Roman" w:hAnsi="Verdana" w:cs="Times New Roman"/>
          <w:color w:val="000000"/>
          <w:kern w:val="0"/>
          <w:lang w:eastAsia="pl-PL"/>
          <w14:ligatures w14:val="none"/>
        </w:rPr>
        <w:t>efektywne wykorzystanie majątku publicznego;</w:t>
      </w:r>
    </w:p>
    <w:p w14:paraId="598171D3" w14:textId="3DC2BED9"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Ograniczenie </w:t>
      </w:r>
      <w:r w:rsidR="00F40563" w:rsidRPr="00F40563">
        <w:rPr>
          <w:rFonts w:ascii="Verdana" w:eastAsia="Times New Roman" w:hAnsi="Verdana" w:cs="Times New Roman"/>
          <w:color w:val="000000"/>
          <w:kern w:val="0"/>
          <w:lang w:eastAsia="pl-PL"/>
          <w14:ligatures w14:val="none"/>
        </w:rPr>
        <w:t>pustostanów i lepsze wykorzystanie lokali komunalnych;</w:t>
      </w:r>
    </w:p>
    <w:p w14:paraId="55F8912E" w14:textId="3CC017C0"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Wzmocnienie </w:t>
      </w:r>
      <w:r w:rsidR="00F40563" w:rsidRPr="00F40563">
        <w:rPr>
          <w:rFonts w:ascii="Verdana" w:eastAsia="Times New Roman" w:hAnsi="Verdana" w:cs="Times New Roman"/>
          <w:color w:val="000000"/>
          <w:kern w:val="0"/>
          <w:lang w:eastAsia="pl-PL"/>
          <w14:ligatures w14:val="none"/>
        </w:rPr>
        <w:t>partnerstwa z NGO bez konieczności każdorazowego finansowania działań grantem;</w:t>
      </w:r>
    </w:p>
    <w:p w14:paraId="3BE67045" w14:textId="53028C07"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Poprawa </w:t>
      </w:r>
      <w:r w:rsidR="00F40563" w:rsidRPr="00F40563">
        <w:rPr>
          <w:rFonts w:ascii="Verdana" w:eastAsia="Times New Roman" w:hAnsi="Verdana" w:cs="Times New Roman"/>
          <w:color w:val="000000"/>
          <w:kern w:val="0"/>
          <w:lang w:eastAsia="pl-PL"/>
          <w14:ligatures w14:val="none"/>
        </w:rPr>
        <w:t>jakości konsultacji i partycypacji lokalnej;</w:t>
      </w:r>
    </w:p>
    <w:p w14:paraId="126DE9C0" w14:textId="02E9ECCB"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Większa </w:t>
      </w:r>
      <w:r w:rsidR="00F40563" w:rsidRPr="00F40563">
        <w:rPr>
          <w:rFonts w:ascii="Verdana" w:eastAsia="Times New Roman" w:hAnsi="Verdana" w:cs="Times New Roman"/>
          <w:color w:val="000000"/>
          <w:kern w:val="0"/>
          <w:lang w:eastAsia="pl-PL"/>
          <w14:ligatures w14:val="none"/>
        </w:rPr>
        <w:t>dostępność usług i działań społecznych blisko mieszkańców;</w:t>
      </w:r>
    </w:p>
    <w:p w14:paraId="1DAD26B2" w14:textId="7100AE39"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Ograniczenie </w:t>
      </w:r>
      <w:r w:rsidR="00F40563" w:rsidRPr="00F40563">
        <w:rPr>
          <w:rFonts w:ascii="Verdana" w:eastAsia="Times New Roman" w:hAnsi="Verdana" w:cs="Times New Roman"/>
          <w:color w:val="000000"/>
          <w:kern w:val="0"/>
          <w:lang w:eastAsia="pl-PL"/>
          <w14:ligatures w14:val="none"/>
        </w:rPr>
        <w:t>uznaniowości dzięki jasnym zasadom polityki lokalowej;</w:t>
      </w:r>
    </w:p>
    <w:p w14:paraId="16B23A22" w14:textId="30359F8D" w:rsidR="00F40563" w:rsidRPr="00F40563" w:rsidRDefault="00FB0992" w:rsidP="00F40563">
      <w:pPr>
        <w:numPr>
          <w:ilvl w:val="0"/>
          <w:numId w:val="3"/>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Możliwość </w:t>
      </w:r>
      <w:r w:rsidR="00F40563" w:rsidRPr="00F40563">
        <w:rPr>
          <w:rFonts w:ascii="Verdana" w:eastAsia="Times New Roman" w:hAnsi="Verdana" w:cs="Times New Roman"/>
          <w:color w:val="000000"/>
          <w:kern w:val="0"/>
          <w:lang w:eastAsia="pl-PL"/>
          <w14:ligatures w14:val="none"/>
        </w:rPr>
        <w:t>łączenia inwestycji infrastrukturalnych z celami społecznymi, obywatelskimi i rewitalizacyjnymi.</w:t>
      </w:r>
    </w:p>
    <w:p w14:paraId="4E6CD80F"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Wpływ na inne podmioty:</w:t>
      </w:r>
    </w:p>
    <w:p w14:paraId="40A989A5"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Szkoły, biblioteki, domy kultury i centra usług społecznych mogą stać się ważnymi partnerami NGO, ale nie powinny być obciążane dodatkowymi zadaniami bez wsparcia organizacyjnego i finansowego. Dlatego polityka lokalowa powinna obejmować finansowanie kosztów eksploatacyjnych, koordynację kalendarzy, ubezpieczenia, bezpieczeństwo, dostępność i standardy współpracy. Spółki komunalne i jednostki zarządzające lokalami mogą zyskać jasne kryteria społecznego wykorzystania zasobów. Federacje NGO mogą pełnić rolę pośredników w diagnozie potrzeb lokalowych, konsultowaniu zasad i monitorowaniu wdrożenia.</w:t>
      </w:r>
    </w:p>
    <w:p w14:paraId="431262BF"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Działanie powinno również wspierać politykę rewitalizacji. Pustostany, budynki po usługach publicznych i niewykorzystane lokale mogą odzyskać funkcje społeczne, jeśli zostaną udostępnione NGO na przejrzystych zasadach. Takie rozwiązanie zwiększa bezpieczeństwo, aktywność mieszkańców i jakość życia w dzielnicach oraz miejscowościach o słabszym dostępie do usług.</w:t>
      </w:r>
    </w:p>
    <w:p w14:paraId="33631121" w14:textId="77777777" w:rsidR="00F40563" w:rsidRPr="00F40563" w:rsidRDefault="00F40563" w:rsidP="00F40563">
      <w:pPr>
        <w:spacing w:before="100" w:beforeAutospacing="1" w:after="100" w:afterAutospacing="1" w:line="276" w:lineRule="auto"/>
        <w:outlineLvl w:val="1"/>
        <w:rPr>
          <w:rFonts w:ascii="Verdana" w:eastAsia="Times New Roman" w:hAnsi="Verdana" w:cs="Times New Roman"/>
          <w:b/>
          <w:bCs/>
          <w:color w:val="000000"/>
          <w:kern w:val="0"/>
          <w:sz w:val="36"/>
          <w:szCs w:val="36"/>
          <w:lang w:eastAsia="pl-PL"/>
          <w14:ligatures w14:val="none"/>
        </w:rPr>
      </w:pPr>
      <w:r w:rsidRPr="00F40563">
        <w:rPr>
          <w:rFonts w:ascii="Verdana" w:eastAsia="Times New Roman" w:hAnsi="Verdana" w:cs="Times New Roman"/>
          <w:b/>
          <w:bCs/>
          <w:color w:val="000000"/>
          <w:kern w:val="0"/>
          <w:sz w:val="36"/>
          <w:szCs w:val="36"/>
          <w:lang w:eastAsia="pl-PL"/>
          <w14:ligatures w14:val="none"/>
        </w:rPr>
        <w:t>6. Podmioty odpowiedzialne za wdrożenie działania i źródła jego finansowania</w:t>
      </w:r>
    </w:p>
    <w:p w14:paraId="7A94ED5C"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Podmioty odpowiedzialne za wdrożenie działania:</w:t>
      </w:r>
    </w:p>
    <w:p w14:paraId="3E62E27A"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Kancelaria Prezesa Rady Ministrów lub minister właściwy do spraw społeczeństwa obywatelskiego</w:t>
      </w:r>
      <w:r w:rsidRPr="00F40563">
        <w:rPr>
          <w:rFonts w:ascii="Verdana" w:eastAsia="Times New Roman" w:hAnsi="Verdana" w:cs="Times New Roman"/>
          <w:color w:val="000000"/>
          <w:kern w:val="0"/>
          <w:lang w:eastAsia="pl-PL"/>
          <w14:ligatures w14:val="none"/>
        </w:rPr>
        <w:t> – włączenie modułu lokalowego i infrastrukturalnego do Strategii Rozwoju Społeczeństwa Obywatelskiego.</w:t>
      </w:r>
    </w:p>
    <w:p w14:paraId="72972621"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lastRenderedPageBreak/>
        <w:t>Komitet do spraw Pożytku Publicznego</w:t>
      </w:r>
      <w:r w:rsidRPr="00F40563">
        <w:rPr>
          <w:rFonts w:ascii="Verdana" w:eastAsia="Times New Roman" w:hAnsi="Verdana" w:cs="Times New Roman"/>
          <w:color w:val="000000"/>
          <w:kern w:val="0"/>
          <w:lang w:eastAsia="pl-PL"/>
          <w14:ligatures w14:val="none"/>
        </w:rPr>
        <w:t> – przygotowanie standardów lokalnych polityk lokalowych dla NGO oraz rekomendacji dotyczących społecznego wykorzystania zasobów publicznych.</w:t>
      </w:r>
    </w:p>
    <w:p w14:paraId="2B9EA897"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Ministerstwo Funduszy i Polityki Regionalnej</w:t>
      </w:r>
      <w:r w:rsidRPr="00F40563">
        <w:rPr>
          <w:rFonts w:ascii="Verdana" w:eastAsia="Times New Roman" w:hAnsi="Verdana" w:cs="Times New Roman"/>
          <w:color w:val="000000"/>
          <w:kern w:val="0"/>
          <w:lang w:eastAsia="pl-PL"/>
          <w14:ligatures w14:val="none"/>
        </w:rPr>
        <w:t> – powiązanie działania z polityką spójności, rewitalizacją, programami regionalnymi, pomocą techniczną i zasadą partnerstwa.</w:t>
      </w:r>
    </w:p>
    <w:p w14:paraId="00B67237"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Ministerstwo Edukacji Narodowej</w:t>
      </w:r>
      <w:r w:rsidRPr="00F40563">
        <w:rPr>
          <w:rFonts w:ascii="Verdana" w:eastAsia="Times New Roman" w:hAnsi="Verdana" w:cs="Times New Roman"/>
          <w:color w:val="000000"/>
          <w:kern w:val="0"/>
          <w:lang w:eastAsia="pl-PL"/>
          <w14:ligatures w14:val="none"/>
        </w:rPr>
        <w:t> – przygotowanie ram wykorzystania infrastruktury edukacyjnej na potrzeby działań społecznych i obywatelskich poza czasem nauki, z poszanowaniem bezpieczeństwa szkół.</w:t>
      </w:r>
    </w:p>
    <w:p w14:paraId="724854C9"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Ministerstwo Rodziny, Pracy i Polityki Społecznej</w:t>
      </w:r>
      <w:r w:rsidRPr="00F40563">
        <w:rPr>
          <w:rFonts w:ascii="Verdana" w:eastAsia="Times New Roman" w:hAnsi="Verdana" w:cs="Times New Roman"/>
          <w:color w:val="000000"/>
          <w:kern w:val="0"/>
          <w:lang w:eastAsia="pl-PL"/>
          <w14:ligatures w14:val="none"/>
        </w:rPr>
        <w:t> – powiązanie infrastruktury NGO z usługami społecznymi, centrami usług społecznych, ekonomią społeczną i działaniami środowiskowymi.</w:t>
      </w:r>
    </w:p>
    <w:p w14:paraId="5BE994AF"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Ministerstwo Kultury i Dziedzictwa Narodowego</w:t>
      </w:r>
      <w:r w:rsidRPr="00F40563">
        <w:rPr>
          <w:rFonts w:ascii="Verdana" w:eastAsia="Times New Roman" w:hAnsi="Verdana" w:cs="Times New Roman"/>
          <w:color w:val="000000"/>
          <w:kern w:val="0"/>
          <w:lang w:eastAsia="pl-PL"/>
          <w14:ligatures w14:val="none"/>
        </w:rPr>
        <w:t> – rozwój funkcji obywatelskich bibliotek, domów kultury i instytucji kultury.</w:t>
      </w:r>
    </w:p>
    <w:p w14:paraId="2AF9F7EF"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Jednostki samorządu terytorialnego</w:t>
      </w:r>
      <w:r w:rsidRPr="00F40563">
        <w:rPr>
          <w:rFonts w:ascii="Verdana" w:eastAsia="Times New Roman" w:hAnsi="Verdana" w:cs="Times New Roman"/>
          <w:color w:val="000000"/>
          <w:kern w:val="0"/>
          <w:lang w:eastAsia="pl-PL"/>
          <w14:ligatures w14:val="none"/>
        </w:rPr>
        <w:t> – przyjmowanie lokalnych polityk lokalowych, udostępnianie zasobów, prowadzenie wykazów lokali, finansowanie kosztów eksploatacyjnych i tworzenie centrów NGO.</w:t>
      </w:r>
    </w:p>
    <w:p w14:paraId="52A9570D"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Szkoły, biblioteki, domy kultury, centra usług społecznych i inne jednostki publiczne</w:t>
      </w:r>
      <w:r w:rsidRPr="00F40563">
        <w:rPr>
          <w:rFonts w:ascii="Verdana" w:eastAsia="Times New Roman" w:hAnsi="Verdana" w:cs="Times New Roman"/>
          <w:color w:val="000000"/>
          <w:kern w:val="0"/>
          <w:lang w:eastAsia="pl-PL"/>
          <w14:ligatures w14:val="none"/>
        </w:rPr>
        <w:t> – współpraca operacyjna z NGO i udostępnianie przestrzeni według jasnych zasad.</w:t>
      </w:r>
    </w:p>
    <w:p w14:paraId="457D75A6"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Federacje i sieci NGO</w:t>
      </w:r>
      <w:r w:rsidRPr="00F40563">
        <w:rPr>
          <w:rFonts w:ascii="Verdana" w:eastAsia="Times New Roman" w:hAnsi="Verdana" w:cs="Times New Roman"/>
          <w:color w:val="000000"/>
          <w:kern w:val="0"/>
          <w:lang w:eastAsia="pl-PL"/>
          <w14:ligatures w14:val="none"/>
        </w:rPr>
        <w:t> – diagnozowanie potrzeb lokalowych, konsultowanie zasad, monitorowanie równego dostępu i wspieranie organizacji w korzystaniu z lokali.</w:t>
      </w:r>
    </w:p>
    <w:p w14:paraId="791738AB" w14:textId="77777777" w:rsidR="00F40563" w:rsidRPr="00F40563" w:rsidRDefault="00F40563" w:rsidP="00F40563">
      <w:pPr>
        <w:numPr>
          <w:ilvl w:val="0"/>
          <w:numId w:val="4"/>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Spółki komunalne i jednostki zarządzające nieruchomościami</w:t>
      </w:r>
      <w:r w:rsidRPr="00F40563">
        <w:rPr>
          <w:rFonts w:ascii="Verdana" w:eastAsia="Times New Roman" w:hAnsi="Verdana" w:cs="Times New Roman"/>
          <w:color w:val="000000"/>
          <w:kern w:val="0"/>
          <w:lang w:eastAsia="pl-PL"/>
          <w14:ligatures w14:val="none"/>
        </w:rPr>
        <w:t> – identyfikacja lokali, pustostanów i przestrzeni możliwych do wykorzystania społecznego.</w:t>
      </w:r>
    </w:p>
    <w:p w14:paraId="0AE5F062"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Źródła finansowania:</w:t>
      </w:r>
    </w:p>
    <w:p w14:paraId="3243A79C" w14:textId="4E4596DB" w:rsidR="00F40563" w:rsidRPr="00F40563" w:rsidRDefault="00FB0992" w:rsidP="00F40563">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Budżety gmin, powiatów i województw;</w:t>
      </w:r>
    </w:p>
    <w:p w14:paraId="6881D480" w14:textId="02A0C6C5" w:rsidR="00F40563" w:rsidRPr="00F40563" w:rsidRDefault="00FB0992" w:rsidP="00F40563">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Programy współpracy </w:t>
      </w:r>
      <w:proofErr w:type="spellStart"/>
      <w:r w:rsidRPr="00F40563">
        <w:rPr>
          <w:rFonts w:ascii="Verdana" w:eastAsia="Times New Roman" w:hAnsi="Verdana" w:cs="Times New Roman"/>
          <w:color w:val="000000"/>
          <w:kern w:val="0"/>
          <w:lang w:eastAsia="pl-PL"/>
          <w14:ligatures w14:val="none"/>
        </w:rPr>
        <w:t>jst</w:t>
      </w:r>
      <w:proofErr w:type="spellEnd"/>
      <w:r w:rsidRPr="00F40563">
        <w:rPr>
          <w:rFonts w:ascii="Verdana" w:eastAsia="Times New Roman" w:hAnsi="Verdana" w:cs="Times New Roman"/>
          <w:color w:val="000000"/>
          <w:kern w:val="0"/>
          <w:lang w:eastAsia="pl-PL"/>
          <w14:ligatures w14:val="none"/>
        </w:rPr>
        <w:t xml:space="preserve"> z </w:t>
      </w:r>
      <w:proofErr w:type="spellStart"/>
      <w:r w:rsidRPr="00F40563">
        <w:rPr>
          <w:rFonts w:ascii="Verdana" w:eastAsia="Times New Roman" w:hAnsi="Verdana" w:cs="Times New Roman"/>
          <w:color w:val="000000"/>
          <w:kern w:val="0"/>
          <w:lang w:eastAsia="pl-PL"/>
          <w14:ligatures w14:val="none"/>
        </w:rPr>
        <w:t>ngo</w:t>
      </w:r>
      <w:proofErr w:type="spellEnd"/>
      <w:r w:rsidRPr="00F40563">
        <w:rPr>
          <w:rFonts w:ascii="Verdana" w:eastAsia="Times New Roman" w:hAnsi="Verdana" w:cs="Times New Roman"/>
          <w:color w:val="000000"/>
          <w:kern w:val="0"/>
          <w:lang w:eastAsia="pl-PL"/>
          <w14:ligatures w14:val="none"/>
        </w:rPr>
        <w:t>;</w:t>
      </w:r>
    </w:p>
    <w:p w14:paraId="57C2219E" w14:textId="16849131" w:rsidR="00F40563" w:rsidRPr="00F40563" w:rsidRDefault="00FB0992" w:rsidP="00F40563">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Fundusze </w:t>
      </w:r>
      <w:r>
        <w:rPr>
          <w:rFonts w:ascii="Verdana" w:eastAsia="Times New Roman" w:hAnsi="Verdana" w:cs="Times New Roman"/>
          <w:color w:val="000000"/>
          <w:kern w:val="0"/>
          <w:lang w:eastAsia="pl-PL"/>
          <w14:ligatures w14:val="none"/>
        </w:rPr>
        <w:t>E</w:t>
      </w:r>
      <w:r w:rsidRPr="00F40563">
        <w:rPr>
          <w:rFonts w:ascii="Verdana" w:eastAsia="Times New Roman" w:hAnsi="Verdana" w:cs="Times New Roman"/>
          <w:color w:val="000000"/>
          <w:kern w:val="0"/>
          <w:lang w:eastAsia="pl-PL"/>
          <w14:ligatures w14:val="none"/>
        </w:rPr>
        <w:t>uropejskie;</w:t>
      </w:r>
    </w:p>
    <w:p w14:paraId="4D90928C" w14:textId="25486497" w:rsidR="00F40563" w:rsidRPr="00F40563" w:rsidRDefault="00FB0992" w:rsidP="00F40563">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Programy </w:t>
      </w:r>
      <w:r>
        <w:rPr>
          <w:rFonts w:ascii="Verdana" w:eastAsia="Times New Roman" w:hAnsi="Verdana" w:cs="Times New Roman"/>
          <w:color w:val="000000"/>
          <w:kern w:val="0"/>
          <w:lang w:eastAsia="pl-PL"/>
          <w14:ligatures w14:val="none"/>
        </w:rPr>
        <w:t>R</w:t>
      </w:r>
      <w:r w:rsidRPr="00F40563">
        <w:rPr>
          <w:rFonts w:ascii="Verdana" w:eastAsia="Times New Roman" w:hAnsi="Verdana" w:cs="Times New Roman"/>
          <w:color w:val="000000"/>
          <w:kern w:val="0"/>
          <w:lang w:eastAsia="pl-PL"/>
          <w14:ligatures w14:val="none"/>
        </w:rPr>
        <w:t>egionalne EFS+</w:t>
      </w:r>
      <w:r>
        <w:rPr>
          <w:rFonts w:ascii="Verdana" w:eastAsia="Times New Roman" w:hAnsi="Verdana" w:cs="Times New Roman"/>
          <w:color w:val="000000"/>
          <w:kern w:val="0"/>
          <w:lang w:eastAsia="pl-PL"/>
          <w14:ligatures w14:val="none"/>
        </w:rPr>
        <w:t>,</w:t>
      </w:r>
      <w:r w:rsidRPr="00F40563">
        <w:rPr>
          <w:rFonts w:ascii="Verdana" w:eastAsia="Times New Roman" w:hAnsi="Verdana" w:cs="Times New Roman"/>
          <w:color w:val="000000"/>
          <w:kern w:val="0"/>
          <w:lang w:eastAsia="pl-PL"/>
          <w14:ligatures w14:val="none"/>
        </w:rPr>
        <w:t xml:space="preserve"> EFRR;</w:t>
      </w:r>
    </w:p>
    <w:p w14:paraId="6E616A61" w14:textId="77777777" w:rsidR="00FB0992" w:rsidRDefault="00FB0992" w:rsidP="00FB0992">
      <w:pPr>
        <w:numPr>
          <w:ilvl w:val="0"/>
          <w:numId w:val="5"/>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Środki rewitalizacyjne;</w:t>
      </w:r>
    </w:p>
    <w:p w14:paraId="2F05DA2D"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b/>
          <w:bCs/>
          <w:color w:val="000000"/>
          <w:kern w:val="0"/>
          <w:lang w:eastAsia="pl-PL"/>
          <w14:ligatures w14:val="none"/>
        </w:rPr>
        <w:t>Proponowane instrumenty wdrożeniowe:</w:t>
      </w:r>
    </w:p>
    <w:p w14:paraId="0E8FAD45" w14:textId="63634DE1"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Modelowa </w:t>
      </w:r>
      <w:r w:rsidR="00F40563" w:rsidRPr="00F40563">
        <w:rPr>
          <w:rFonts w:ascii="Verdana" w:eastAsia="Times New Roman" w:hAnsi="Verdana" w:cs="Times New Roman"/>
          <w:color w:val="000000"/>
          <w:kern w:val="0"/>
          <w:lang w:eastAsia="pl-PL"/>
          <w14:ligatures w14:val="none"/>
        </w:rPr>
        <w:t>lokalna polityka lokalowa dla NGO;</w:t>
      </w:r>
    </w:p>
    <w:p w14:paraId="38F6D708" w14:textId="30E57B9E"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Obowiązek </w:t>
      </w:r>
      <w:r w:rsidR="00F40563" w:rsidRPr="00F40563">
        <w:rPr>
          <w:rFonts w:ascii="Verdana" w:eastAsia="Times New Roman" w:hAnsi="Verdana" w:cs="Times New Roman"/>
          <w:color w:val="000000"/>
          <w:kern w:val="0"/>
          <w:lang w:eastAsia="pl-PL"/>
          <w14:ligatures w14:val="none"/>
        </w:rPr>
        <w:t>publikowania wykazu lokali i przestrzeni możliwych do wykorzystania społecznego;</w:t>
      </w:r>
    </w:p>
    <w:p w14:paraId="70A412C3" w14:textId="7947897C"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lastRenderedPageBreak/>
        <w:t xml:space="preserve">Preferencyjny </w:t>
      </w:r>
      <w:r w:rsidR="00F40563" w:rsidRPr="00F40563">
        <w:rPr>
          <w:rFonts w:ascii="Verdana" w:eastAsia="Times New Roman" w:hAnsi="Verdana" w:cs="Times New Roman"/>
          <w:color w:val="000000"/>
          <w:kern w:val="0"/>
          <w:lang w:eastAsia="pl-PL"/>
          <w14:ligatures w14:val="none"/>
        </w:rPr>
        <w:t>najem, użyczenie lub współdzielenie lokali dla działań niekomercyjnych;</w:t>
      </w:r>
    </w:p>
    <w:p w14:paraId="6170C045" w14:textId="62820316"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Wieloletnie </w:t>
      </w:r>
      <w:r w:rsidR="00F40563" w:rsidRPr="00F40563">
        <w:rPr>
          <w:rFonts w:ascii="Verdana" w:eastAsia="Times New Roman" w:hAnsi="Verdana" w:cs="Times New Roman"/>
          <w:color w:val="000000"/>
          <w:kern w:val="0"/>
          <w:lang w:eastAsia="pl-PL"/>
          <w14:ligatures w14:val="none"/>
        </w:rPr>
        <w:t>umowy dla NGO prowadzących stałe usługi lub działania społeczne;</w:t>
      </w:r>
    </w:p>
    <w:p w14:paraId="3D8CF374" w14:textId="6BC340DD"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Lokalne </w:t>
      </w:r>
      <w:r w:rsidR="00F40563" w:rsidRPr="00F40563">
        <w:rPr>
          <w:rFonts w:ascii="Verdana" w:eastAsia="Times New Roman" w:hAnsi="Verdana" w:cs="Times New Roman"/>
          <w:color w:val="000000"/>
          <w:kern w:val="0"/>
          <w:lang w:eastAsia="pl-PL"/>
          <w14:ligatures w14:val="none"/>
        </w:rPr>
        <w:t xml:space="preserve">centra NGO i </w:t>
      </w:r>
      <w:r>
        <w:rPr>
          <w:rFonts w:ascii="Verdana" w:eastAsia="Times New Roman" w:hAnsi="Verdana" w:cs="Times New Roman"/>
          <w:color w:val="000000"/>
          <w:kern w:val="0"/>
          <w:lang w:eastAsia="pl-PL"/>
          <w14:ligatures w14:val="none"/>
        </w:rPr>
        <w:t xml:space="preserve">wolontariatu, huby </w:t>
      </w:r>
      <w:r w:rsidR="00F40563" w:rsidRPr="00F40563">
        <w:rPr>
          <w:rFonts w:ascii="Verdana" w:eastAsia="Times New Roman" w:hAnsi="Verdana" w:cs="Times New Roman"/>
          <w:color w:val="000000"/>
          <w:kern w:val="0"/>
          <w:lang w:eastAsia="pl-PL"/>
          <w14:ligatures w14:val="none"/>
        </w:rPr>
        <w:t>obywatelskie;</w:t>
      </w:r>
    </w:p>
    <w:p w14:paraId="6364818E" w14:textId="5BCC54A0"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Program </w:t>
      </w:r>
      <w:r w:rsidR="00F40563" w:rsidRPr="00F40563">
        <w:rPr>
          <w:rFonts w:ascii="Verdana" w:eastAsia="Times New Roman" w:hAnsi="Verdana" w:cs="Times New Roman"/>
          <w:color w:val="000000"/>
          <w:kern w:val="0"/>
          <w:lang w:eastAsia="pl-PL"/>
          <w14:ligatures w14:val="none"/>
        </w:rPr>
        <w:t>„szkoła po godzinach” dla działań społecznych i obywatelskich;</w:t>
      </w:r>
    </w:p>
    <w:p w14:paraId="21CB0B51" w14:textId="0B44AEA7"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Program </w:t>
      </w:r>
      <w:r w:rsidR="00F40563" w:rsidRPr="00F40563">
        <w:rPr>
          <w:rFonts w:ascii="Verdana" w:eastAsia="Times New Roman" w:hAnsi="Verdana" w:cs="Times New Roman"/>
          <w:color w:val="000000"/>
          <w:kern w:val="0"/>
          <w:lang w:eastAsia="pl-PL"/>
          <w14:ligatures w14:val="none"/>
        </w:rPr>
        <w:t>„biblioteka jako centrum partycypacji”;</w:t>
      </w:r>
    </w:p>
    <w:p w14:paraId="057DD708" w14:textId="707DB058"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Fundusz </w:t>
      </w:r>
      <w:r w:rsidR="00F40563" w:rsidRPr="00F40563">
        <w:rPr>
          <w:rFonts w:ascii="Verdana" w:eastAsia="Times New Roman" w:hAnsi="Verdana" w:cs="Times New Roman"/>
          <w:color w:val="000000"/>
          <w:kern w:val="0"/>
          <w:lang w:eastAsia="pl-PL"/>
          <w14:ligatures w14:val="none"/>
        </w:rPr>
        <w:t>adaptacji</w:t>
      </w:r>
      <w:r>
        <w:rPr>
          <w:rFonts w:ascii="Verdana" w:eastAsia="Times New Roman" w:hAnsi="Verdana" w:cs="Times New Roman"/>
          <w:color w:val="000000"/>
          <w:kern w:val="0"/>
          <w:lang w:eastAsia="pl-PL"/>
          <w14:ligatures w14:val="none"/>
        </w:rPr>
        <w:t>/remontu</w:t>
      </w:r>
      <w:r w:rsidR="00F40563" w:rsidRPr="00F40563">
        <w:rPr>
          <w:rFonts w:ascii="Verdana" w:eastAsia="Times New Roman" w:hAnsi="Verdana" w:cs="Times New Roman"/>
          <w:color w:val="000000"/>
          <w:kern w:val="0"/>
          <w:lang w:eastAsia="pl-PL"/>
          <w14:ligatures w14:val="none"/>
        </w:rPr>
        <w:t xml:space="preserve"> lokali dla NGO;</w:t>
      </w:r>
    </w:p>
    <w:p w14:paraId="47AEEEA6" w14:textId="4275FF41"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Finansowanie </w:t>
      </w:r>
      <w:r w:rsidR="00F40563" w:rsidRPr="00F40563">
        <w:rPr>
          <w:rFonts w:ascii="Verdana" w:eastAsia="Times New Roman" w:hAnsi="Verdana" w:cs="Times New Roman"/>
          <w:color w:val="000000"/>
          <w:kern w:val="0"/>
          <w:lang w:eastAsia="pl-PL"/>
          <w14:ligatures w14:val="none"/>
        </w:rPr>
        <w:t>kosztów eksploatacyjnych i dostępności;</w:t>
      </w:r>
    </w:p>
    <w:p w14:paraId="1D063E9B" w14:textId="593AEA99"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Standard </w:t>
      </w:r>
      <w:r w:rsidR="00F40563" w:rsidRPr="00F40563">
        <w:rPr>
          <w:rFonts w:ascii="Verdana" w:eastAsia="Times New Roman" w:hAnsi="Verdana" w:cs="Times New Roman"/>
          <w:color w:val="000000"/>
          <w:kern w:val="0"/>
          <w:lang w:eastAsia="pl-PL"/>
          <w14:ligatures w14:val="none"/>
        </w:rPr>
        <w:t>bezpiecznego korzystania z przestrzeni przez organizacje pracujące z grupami wrażliwymi;</w:t>
      </w:r>
    </w:p>
    <w:p w14:paraId="139C9428" w14:textId="6A73685C"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 xml:space="preserve">Włączanie </w:t>
      </w:r>
      <w:r w:rsidR="00F40563" w:rsidRPr="00F40563">
        <w:rPr>
          <w:rFonts w:ascii="Verdana" w:eastAsia="Times New Roman" w:hAnsi="Verdana" w:cs="Times New Roman"/>
          <w:color w:val="000000"/>
          <w:kern w:val="0"/>
          <w:lang w:eastAsia="pl-PL"/>
          <w14:ligatures w14:val="none"/>
        </w:rPr>
        <w:t>funkcji obywatelskich do projektów nowych inwestycji społecznych;</w:t>
      </w:r>
    </w:p>
    <w:p w14:paraId="78EC7FD2" w14:textId="7146A9D7" w:rsidR="00F40563" w:rsidRPr="00F40563" w:rsidRDefault="00FB0992" w:rsidP="00F40563">
      <w:pPr>
        <w:numPr>
          <w:ilvl w:val="0"/>
          <w:numId w:val="6"/>
        </w:numPr>
        <w:spacing w:before="100" w:beforeAutospacing="1" w:after="100" w:afterAutospacing="1" w:line="276" w:lineRule="auto"/>
        <w:rPr>
          <w:rFonts w:ascii="Verdana" w:eastAsia="Times New Roman" w:hAnsi="Verdana" w:cs="Times New Roman"/>
          <w:color w:val="000000"/>
          <w:kern w:val="0"/>
          <w:lang w:eastAsia="pl-PL"/>
          <w14:ligatures w14:val="none"/>
        </w:rPr>
      </w:pPr>
      <w:r>
        <w:rPr>
          <w:rFonts w:ascii="Verdana" w:eastAsia="Times New Roman" w:hAnsi="Verdana" w:cs="Times New Roman"/>
          <w:color w:val="000000"/>
          <w:kern w:val="0"/>
          <w:lang w:eastAsia="pl-PL"/>
          <w14:ligatures w14:val="none"/>
        </w:rPr>
        <w:t>M</w:t>
      </w:r>
      <w:r w:rsidR="00F40563" w:rsidRPr="00F40563">
        <w:rPr>
          <w:rFonts w:ascii="Verdana" w:eastAsia="Times New Roman" w:hAnsi="Verdana" w:cs="Times New Roman"/>
          <w:color w:val="000000"/>
          <w:kern w:val="0"/>
          <w:lang w:eastAsia="pl-PL"/>
          <w14:ligatures w14:val="none"/>
        </w:rPr>
        <w:t>onitoring równego dostępu do lokali i infrastruktury publicznej.</w:t>
      </w:r>
    </w:p>
    <w:p w14:paraId="25BB5299" w14:textId="77777777" w:rsidR="00F40563" w:rsidRPr="00F40563" w:rsidRDefault="00F40563" w:rsidP="00F40563">
      <w:pPr>
        <w:spacing w:before="100" w:beforeAutospacing="1" w:after="100" w:afterAutospacing="1" w:line="276" w:lineRule="auto"/>
        <w:rPr>
          <w:rFonts w:ascii="Verdana" w:eastAsia="Times New Roman" w:hAnsi="Verdana" w:cs="Times New Roman"/>
          <w:color w:val="000000"/>
          <w:kern w:val="0"/>
          <w:lang w:eastAsia="pl-PL"/>
          <w14:ligatures w14:val="none"/>
        </w:rPr>
      </w:pPr>
      <w:r w:rsidRPr="00F40563">
        <w:rPr>
          <w:rFonts w:ascii="Verdana" w:eastAsia="Times New Roman" w:hAnsi="Verdana" w:cs="Times New Roman"/>
          <w:color w:val="000000"/>
          <w:kern w:val="0"/>
          <w:lang w:eastAsia="pl-PL"/>
          <w14:ligatures w14:val="none"/>
        </w:rPr>
        <w:t>Rezultatem strategicznym powinien być system, w którym NGO mają stabilny, przejrzysty i proporcjonalny dostęp do lokali oraz infrastruktury publicznej; zasoby publiczne są wykorzystywane do niekomercyjnych działań społecznych; szkoły, biblioteki, domy kultury i centra usług społecznych pełnią także funkcje obywatelskie; a lokalna polityka przestrzeni wzmacnia partycypację, zaufanie, usługi społeczne i odporność wspólnot lokalnych.</w:t>
      </w:r>
    </w:p>
    <w:p w14:paraId="0680BA42" w14:textId="77777777" w:rsidR="00412812" w:rsidRPr="00F40563" w:rsidRDefault="00412812" w:rsidP="00F40563">
      <w:pPr>
        <w:spacing w:line="276" w:lineRule="auto"/>
        <w:rPr>
          <w:rFonts w:ascii="Verdana" w:hAnsi="Verdana"/>
        </w:rPr>
      </w:pPr>
    </w:p>
    <w:sectPr w:rsidR="00412812" w:rsidRPr="00F40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F26"/>
    <w:multiLevelType w:val="multilevel"/>
    <w:tmpl w:val="3374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71F15"/>
    <w:multiLevelType w:val="multilevel"/>
    <w:tmpl w:val="5854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F1C77"/>
    <w:multiLevelType w:val="multilevel"/>
    <w:tmpl w:val="6AC4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52A66"/>
    <w:multiLevelType w:val="multilevel"/>
    <w:tmpl w:val="7BE2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26AD1"/>
    <w:multiLevelType w:val="multilevel"/>
    <w:tmpl w:val="4F6A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62691"/>
    <w:multiLevelType w:val="multilevel"/>
    <w:tmpl w:val="A05C8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A13AE9"/>
    <w:multiLevelType w:val="multilevel"/>
    <w:tmpl w:val="59CA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925093">
    <w:abstractNumId w:val="1"/>
  </w:num>
  <w:num w:numId="2" w16cid:durableId="2091386549">
    <w:abstractNumId w:val="5"/>
  </w:num>
  <w:num w:numId="3" w16cid:durableId="2078817481">
    <w:abstractNumId w:val="6"/>
  </w:num>
  <w:num w:numId="4" w16cid:durableId="2075816515">
    <w:abstractNumId w:val="3"/>
  </w:num>
  <w:num w:numId="5" w16cid:durableId="280111460">
    <w:abstractNumId w:val="4"/>
  </w:num>
  <w:num w:numId="6" w16cid:durableId="298345999">
    <w:abstractNumId w:val="0"/>
  </w:num>
  <w:num w:numId="7" w16cid:durableId="126199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63"/>
    <w:rsid w:val="00412812"/>
    <w:rsid w:val="007018FD"/>
    <w:rsid w:val="009245B1"/>
    <w:rsid w:val="00CF2DD6"/>
    <w:rsid w:val="00D36A51"/>
    <w:rsid w:val="00EB6AAA"/>
    <w:rsid w:val="00F40563"/>
    <w:rsid w:val="00FB0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E07FFF8"/>
  <w15:chartTrackingRefBased/>
  <w15:docId w15:val="{E806FF4B-F1C2-4240-B3E8-652EE51E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0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F40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4056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4056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4056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4056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056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056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056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056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F4056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056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056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056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05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05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05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0563"/>
    <w:rPr>
      <w:rFonts w:eastAsiaTheme="majorEastAsia" w:cstheme="majorBidi"/>
      <w:color w:val="272727" w:themeColor="text1" w:themeTint="D8"/>
    </w:rPr>
  </w:style>
  <w:style w:type="paragraph" w:styleId="Tytu">
    <w:name w:val="Title"/>
    <w:basedOn w:val="Normalny"/>
    <w:next w:val="Normalny"/>
    <w:link w:val="TytuZnak"/>
    <w:uiPriority w:val="10"/>
    <w:qFormat/>
    <w:rsid w:val="00F4056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05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056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05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056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40563"/>
    <w:rPr>
      <w:i/>
      <w:iCs/>
      <w:color w:val="404040" w:themeColor="text1" w:themeTint="BF"/>
    </w:rPr>
  </w:style>
  <w:style w:type="paragraph" w:styleId="Akapitzlist">
    <w:name w:val="List Paragraph"/>
    <w:basedOn w:val="Normalny"/>
    <w:uiPriority w:val="34"/>
    <w:qFormat/>
    <w:rsid w:val="00F40563"/>
    <w:pPr>
      <w:ind w:left="720"/>
      <w:contextualSpacing/>
    </w:pPr>
  </w:style>
  <w:style w:type="character" w:styleId="Wyrnienieintensywne">
    <w:name w:val="Intense Emphasis"/>
    <w:basedOn w:val="Domylnaczcionkaakapitu"/>
    <w:uiPriority w:val="21"/>
    <w:qFormat/>
    <w:rsid w:val="00F40563"/>
    <w:rPr>
      <w:i/>
      <w:iCs/>
      <w:color w:val="2F5496" w:themeColor="accent1" w:themeShade="BF"/>
    </w:rPr>
  </w:style>
  <w:style w:type="paragraph" w:styleId="Cytatintensywny">
    <w:name w:val="Intense Quote"/>
    <w:basedOn w:val="Normalny"/>
    <w:next w:val="Normalny"/>
    <w:link w:val="CytatintensywnyZnak"/>
    <w:uiPriority w:val="30"/>
    <w:qFormat/>
    <w:rsid w:val="00F40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0563"/>
    <w:rPr>
      <w:i/>
      <w:iCs/>
      <w:color w:val="2F5496" w:themeColor="accent1" w:themeShade="BF"/>
    </w:rPr>
  </w:style>
  <w:style w:type="character" w:styleId="Odwoanieintensywne">
    <w:name w:val="Intense Reference"/>
    <w:basedOn w:val="Domylnaczcionkaakapitu"/>
    <w:uiPriority w:val="32"/>
    <w:qFormat/>
    <w:rsid w:val="00F40563"/>
    <w:rPr>
      <w:b/>
      <w:bCs/>
      <w:smallCaps/>
      <w:color w:val="2F5496" w:themeColor="accent1" w:themeShade="BF"/>
      <w:spacing w:val="5"/>
    </w:rPr>
  </w:style>
  <w:style w:type="paragraph" w:customStyle="1" w:styleId="isselectedend">
    <w:name w:val="isselectedend"/>
    <w:basedOn w:val="Normalny"/>
    <w:rsid w:val="00F40563"/>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F40563"/>
    <w:rPr>
      <w:b/>
      <w:bCs/>
    </w:rPr>
  </w:style>
  <w:style w:type="character" w:customStyle="1" w:styleId="apple-converted-space">
    <w:name w:val="apple-converted-space"/>
    <w:basedOn w:val="Domylnaczcionkaakapitu"/>
    <w:rsid w:val="00F40563"/>
  </w:style>
  <w:style w:type="character" w:styleId="Hipercze">
    <w:name w:val="Hyperlink"/>
    <w:basedOn w:val="Domylnaczcionkaakapitu"/>
    <w:uiPriority w:val="99"/>
    <w:unhideWhenUsed/>
    <w:rsid w:val="00F40563"/>
    <w:rPr>
      <w:color w:val="0000FF"/>
      <w:u w:val="single"/>
    </w:rPr>
  </w:style>
  <w:style w:type="paragraph" w:styleId="NormalnyWeb">
    <w:name w:val="Normal (Web)"/>
    <w:basedOn w:val="Normalny"/>
    <w:uiPriority w:val="99"/>
    <w:semiHidden/>
    <w:unhideWhenUsed/>
    <w:rsid w:val="00F40563"/>
    <w:pPr>
      <w:spacing w:before="100" w:beforeAutospacing="1" w:after="100" w:afterAutospacing="1"/>
    </w:pPr>
    <w:rPr>
      <w:rFonts w:ascii="Times New Roman" w:eastAsia="Times New Roman" w:hAnsi="Times New Roman" w:cs="Times New Roman"/>
      <w:kern w:val="0"/>
      <w:lang w:eastAsia="pl-PL"/>
      <w14:ligatures w14:val="none"/>
    </w:rPr>
  </w:style>
  <w:style w:type="character" w:styleId="Nierozpoznanawzmianka">
    <w:name w:val="Unresolved Mention"/>
    <w:basedOn w:val="Domylnaczcionkaakapitu"/>
    <w:uiPriority w:val="99"/>
    <w:semiHidden/>
    <w:unhideWhenUsed/>
    <w:rsid w:val="0092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i=09000016805d534d" TargetMode="External"/><Relationship Id="rId13" Type="http://schemas.openxmlformats.org/officeDocument/2006/relationships/hyperlink" Target="https://publiclibraries2030.eu/projects-and-initiatives/" TargetMode="External"/><Relationship Id="rId3" Type="http://schemas.openxmlformats.org/officeDocument/2006/relationships/settings" Target="settings.xml"/><Relationship Id="rId7" Type="http://schemas.openxmlformats.org/officeDocument/2006/relationships/hyperlink" Target="https://www.oecd.org/content/dam/oecd/en/publications/reports/2025/01/towards-meaningful-civil-society-participation-at-the-international-level_99c618fe/8ed04dc2-en.pdf" TargetMode="External"/><Relationship Id="rId12" Type="http://schemas.openxmlformats.org/officeDocument/2006/relationships/hyperlink" Target="https://stat.gov.pl/files/gfx/portalinformacyjny/pl/defaultaktualnosci/5490/3/11/1/dzialalnosc_organizacji_pozarzadowych_w_2024_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ecd.org/en/topics/sub-issues/open-government-and-citizen-participation/civic-space.html" TargetMode="External"/><Relationship Id="rId11" Type="http://schemas.openxmlformats.org/officeDocument/2006/relationships/hyperlink" Target="https://fakty.ngo.pl/raporty/kondycja-organizacji-pozarzadowych-2024-bkj" TargetMode="External"/><Relationship Id="rId5" Type="http://schemas.openxmlformats.org/officeDocument/2006/relationships/hyperlink" Target="https://strategia2026.kprm.gov.pl/?lang=pl" TargetMode="External"/><Relationship Id="rId15" Type="http://schemas.openxmlformats.org/officeDocument/2006/relationships/fontTable" Target="fontTable.xml"/><Relationship Id="rId10" Type="http://schemas.openxmlformats.org/officeDocument/2006/relationships/hyperlink" Target="https://eur-lex.europa.eu/legal-content/EN/TXT/?uri=CELEX%3A52021DC0778" TargetMode="External"/><Relationship Id="rId4" Type="http://schemas.openxmlformats.org/officeDocument/2006/relationships/webSettings" Target="webSettings.xml"/><Relationship Id="rId9" Type="http://schemas.openxmlformats.org/officeDocument/2006/relationships/hyperlink" Target="https://employment-social-affairs.ec.europa.eu/policies-and-activities/eu-employment-policies/social-economy-and-inclusive-entrepreneurship/social-economy-action-plan_en" TargetMode="External"/><Relationship Id="rId14" Type="http://schemas.openxmlformats.org/officeDocument/2006/relationships/hyperlink" Target="https://cop-demos.jrc.ec.europa.eu/blog/citizen-engagement-public-librari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2731</Words>
  <Characters>19313</Characters>
  <Application>Microsoft Office Word</Application>
  <DocSecurity>0</DocSecurity>
  <Lines>332</Lines>
  <Paragraphs>141</Paragraphs>
  <ScaleCrop>false</ScaleCrop>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Och</dc:creator>
  <cp:keywords/>
  <dc:description/>
  <cp:lastModifiedBy>Justyna Och</cp:lastModifiedBy>
  <cp:revision>3</cp:revision>
  <dcterms:created xsi:type="dcterms:W3CDTF">2026-06-15T16:43:00Z</dcterms:created>
  <dcterms:modified xsi:type="dcterms:W3CDTF">2026-06-15T17:01:00Z</dcterms:modified>
</cp:coreProperties>
</file>