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1DAB" w14:textId="77777777" w:rsidR="00722FB4" w:rsidRPr="009245B1" w:rsidRDefault="00722FB4" w:rsidP="00722FB4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9245B1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Link do ankiety: </w:t>
      </w:r>
      <w:hyperlink r:id="rId5" w:history="1">
        <w:r w:rsidRPr="009245B1">
          <w:rPr>
            <w:rStyle w:val="Hipercze"/>
            <w:rFonts w:ascii="Verdana" w:eastAsia="Times New Roman" w:hAnsi="Verdana" w:cs="Times New Roman"/>
            <w:b/>
            <w:bCs/>
            <w:kern w:val="0"/>
            <w:sz w:val="32"/>
            <w:szCs w:val="32"/>
            <w:lang w:eastAsia="pl-PL"/>
            <w14:ligatures w14:val="none"/>
          </w:rPr>
          <w:t>https://strategia2026.kprm.gov.pl/?lang=pl</w:t>
        </w:r>
      </w:hyperlink>
      <w:r w:rsidRPr="009245B1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</w:p>
    <w:p w14:paraId="79F5A0E9" w14:textId="28098C54" w:rsidR="008A347A" w:rsidRPr="00722FB4" w:rsidRDefault="00722FB4" w:rsidP="00722FB4">
      <w:pPr>
        <w:spacing w:before="100" w:beforeAutospacing="1" w:after="100" w:afterAutospacing="1" w:line="276" w:lineRule="auto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  <w:r w:rsidRPr="009245B1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highlight w:val="yellow"/>
          <w:lang w:eastAsia="pl-PL"/>
          <w14:ligatures w14:val="none"/>
        </w:rPr>
        <w:t xml:space="preserve">Nazwa wybieranego obszaru -&gt;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Wzmocnienie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mechanizmów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dialogu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obywatelskiego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i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komunikacji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pomiędzy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trzecim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sektorem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a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administracja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publiczną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,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wzmocnienie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partycypacji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społecznej</w:t>
      </w:r>
      <w:proofErr w:type="spellEnd"/>
      <w:r w:rsidRPr="00722FB4">
        <w:rPr>
          <w:rFonts w:ascii="Verdana" w:hAnsi="Verdana"/>
          <w:b/>
          <w:bCs/>
          <w:color w:val="000000"/>
          <w:sz w:val="32"/>
          <w:szCs w:val="32"/>
          <w:lang w:val="en-US"/>
        </w:rPr>
        <w:t>.</w:t>
      </w:r>
    </w:p>
    <w:p w14:paraId="2A103F39" w14:textId="77777777" w:rsidR="00722FB4" w:rsidRDefault="00722FB4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</w:p>
    <w:p w14:paraId="5F2B0D3E" w14:textId="6EE6DF45" w:rsidR="008A347A" w:rsidRPr="00722FB4" w:rsidRDefault="008A347A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722FB4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1. Nazwa proponowanego działania/interwencji strategicznej wraz z propozycją nazw priorytetu i kierunku dla tego działania</w:t>
      </w:r>
    </w:p>
    <w:p w14:paraId="11A7F472" w14:textId="578196C5" w:rsidR="008A347A" w:rsidRPr="00722FB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Nazwa proponowanego działania/interwencji strategicznej:</w:t>
      </w:r>
      <w:r w:rsidR="00722FB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Wzmocnienie federacji i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związków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organizacji społeczeństwa obywatelskiego, w szczególności federacji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i związków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regionalnych, jako infrastruktury zrównoważonego rozwoju kraju</w:t>
      </w:r>
    </w:p>
    <w:p w14:paraId="7359629F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Propozycja nazwy priorytetu: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Silne, reprezentatywne i współpracujące społeczeństwo obywatelskie w całej Polsce</w:t>
      </w:r>
    </w:p>
    <w:p w14:paraId="7D9A0E95" w14:textId="6C3982B6" w:rsidR="008A347A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Propozycja nazwy kierunku działania: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Rozwój federacji, </w:t>
      </w:r>
      <w:r w:rsidR="00722FB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związków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i porozumień organizacji społeczeństwa obywatelskiego na poziomie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krajowym, regionalnym i branżowym.</w:t>
      </w:r>
    </w:p>
    <w:p w14:paraId="1ADCB4F2" w14:textId="6C1DBA19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Interwencja powinna uznać federacje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i związki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regionalne za kluczowy element infrastruktury społeczeństwa obywatelskiego. Ich rolą nie jest wyłącznie zrzeszanie organizacji, ale także wzmacnianie ich głosu, organizowanie współpracy, przekazywanie wiedzy z poziomu lokalnego do regionalnego i krajowego oraz umożliwianie realnego udziału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w tworzeniu, wdrażaniu i monitorowaniu polityk publicznych.</w:t>
      </w:r>
    </w:p>
    <w:p w14:paraId="20167026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Działanie powinno zostać powiązane z zasadą partnerstwa, polityką spójności, rozwojem regionalnym, usługami społecznymi, ekonomią społeczną, równością, dostępnością, odpornością społeczną i ochroną przestrzeni obywatelskiej. Szczególne znaczenie powinno mieć włączanie organizacji z mniejszych miejscowości, obszarów wiejskich, regionów peryferyjnych oraz organizacji działających na rzecz grup słabiej reprezentowanych w procesach decyzyjnych.</w:t>
      </w:r>
    </w:p>
    <w:p w14:paraId="17D9192E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Źródła wykorzystane w uzasadnieniu działania: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OECD, „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Towards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meaningful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civil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society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participation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international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level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”, 2025: </w:t>
      </w:r>
      <w:hyperlink r:id="rId6" w:history="1">
        <w:r w:rsidRPr="00D972C4">
          <w:rPr>
            <w:rFonts w:ascii="Verdana" w:eastAsia="Times New Roman" w:hAnsi="Verdana" w:cs="Times New Roman"/>
            <w:color w:val="0000FF"/>
            <w:kern w:val="0"/>
            <w:u w:val="single"/>
            <w:lang w:eastAsia="pl-PL"/>
            <w14:ligatures w14:val="none"/>
          </w:rPr>
          <w:t>https://www.oecd.org/content/dam/oecd/en/publications/reports/2025/01/towards-meaningful-civil-society-participation-at-the-international-level_99c618fe/8ed04dc2-en.pdf</w:t>
        </w:r>
      </w:hyperlink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Stowarzyszenie Klon/Jawor, „Kondycja organizacji pozarządowych 2021”: </w:t>
      </w:r>
      <w:hyperlink r:id="rId7" w:history="1">
        <w:r w:rsidRPr="00D972C4">
          <w:rPr>
            <w:rFonts w:ascii="Verdana" w:eastAsia="Times New Roman" w:hAnsi="Verdana" w:cs="Times New Roman"/>
            <w:color w:val="0000FF"/>
            <w:kern w:val="0"/>
            <w:u w:val="single"/>
            <w:lang w:eastAsia="pl-PL"/>
            <w14:ligatures w14:val="none"/>
          </w:rPr>
          <w:t>https://api.ngo.pl/media/get/183259</w:t>
        </w:r>
      </w:hyperlink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GUS, „Sektor non-profit w 2022 roku”: </w:t>
      </w:r>
      <w:hyperlink r:id="rId8" w:history="1">
        <w:r w:rsidRPr="00D972C4">
          <w:rPr>
            <w:rFonts w:ascii="Verdana" w:eastAsia="Times New Roman" w:hAnsi="Verdana" w:cs="Times New Roman"/>
            <w:color w:val="0000FF"/>
            <w:kern w:val="0"/>
            <w:u w:val="single"/>
            <w:lang w:eastAsia="pl-PL"/>
            <w14:ligatures w14:val="none"/>
          </w:rPr>
          <w:t>https://stat.gov.pl/obszary-tematyczne/gospodarka-spoleczna-wolontariat/gospodarka-spoleczna-trzeci-sektor/sektor-non-profit-w-2022-roku,1,9.html</w:t>
        </w:r>
      </w:hyperlink>
    </w:p>
    <w:p w14:paraId="7EA7B61A" w14:textId="77777777" w:rsidR="008A347A" w:rsidRPr="00D972C4" w:rsidRDefault="008A347A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2. Opis proponowanego działania/interwencji strategicznej</w:t>
      </w:r>
    </w:p>
    <w:p w14:paraId="0301ECB9" w14:textId="52E2D325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Proponowane działanie polega na systemowym i wieloletnim wzmacnianiu federacji, sieci i porozumień organizacji społeczeństwa obywatelskiego, ze szczególnym uwzględnieniem federacji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krajowych,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regionalnych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i 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branzowych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. Celem jest stworzenie trwałych warunków do tego, aby organizacje społeczne mogły skuteczniej współpracować, reprezentować interesy mieszkańców, uczestniczyć w dialogu obywatelskim i wpływać na jakość polityk publicznych.</w:t>
      </w:r>
    </w:p>
    <w:p w14:paraId="7BE3309F" w14:textId="225F1149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 szczególności f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ederacje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i związki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regionalne powinny pełnić rolę pomostu między lokalnymi organizacjami a administracją publiczną, samorządami województw, instytucjami zarządzającymi funduszami europejskimi, radami działalności pożytku publicznego, komitetami monitorującymi, uczelniami, partnerami społecznymi i innymi podmiotami rozwoju regionalnego. Ich zadaniem powinno być zbieranie doświadczeń i postulatów organizacji z terenu województwa, porządkowanie ich w stanowiska i rekomendacje oraz reprezentowanie ich w procesach decyzyjnych.</w:t>
      </w:r>
    </w:p>
    <w:p w14:paraId="55CD458A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Działanie powinno obejmować następujące elementy:</w:t>
      </w:r>
    </w:p>
    <w:p w14:paraId="3EF1A09D" w14:textId="0E01B2CC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1. Wieloletnie wsparcie instytucjonalne federacji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krajowych,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regionalnych i branżowych.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Finansowanie powinno obejmować podstawowe funkcje federacyjne: koordynację, komunikację z członkami, konsultowanie stanowisk, analizę dokumentów publicznych, udział w ciałach dialogu, rzecznictwo, monitoring polityk publicznych, obsługę ekspercką i pracę animacyjną w regionie.</w:t>
      </w:r>
    </w:p>
    <w:p w14:paraId="56AB8CF0" w14:textId="1B08EC58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2. Rozwój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krajowych i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regionalnych mechanizmów konsultowania stanowisk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 xml:space="preserve">Federacje powinny otrzymać środki i narzędzia do prowadzenia konsultacji z organizacjami członkowskimi oraz niezrzeszonymi, szczególnie z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mniejszych miejscowości. Dzięki temu stanowiska przedstawiane administracji będą bardziej reprezentatywne i oparte na doświadczeniu różnych typów organizacji.</w:t>
      </w:r>
    </w:p>
    <w:p w14:paraId="0E4AAE3B" w14:textId="49D21FAC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3. Włączenie federacji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i związków krajowych,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regionalnych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i branżowych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w procesy programowania i monitorowania polityk publicznych.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Dotyczy to zwłaszcza strategii rozwoju województw, programów regionalnych finansowanych z UE, polityki społecznej, usług społecznych, ekonomii społecznej, edukacji, rynku pracy, zdrowia, mieszkalnictwa, transformacji klimatycznej, dostępności i równości.</w:t>
      </w:r>
    </w:p>
    <w:p w14:paraId="620AB525" w14:textId="2CBCCA0B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4. Rozwój kompetencji federacji i organizacji członkowskich.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 xml:space="preserve">Wsparcie powinno obejmować szkolenia, doradztwo i mentoring w zakresie rzecznictwa, analizy prawa, wykorzystania danych, komunikacji, zarządzania siecią, standardów reprezentacji, partycypacji, równości, przeciwdziałania dyskryminacji i ochrony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przestrzeni obywatelskiej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.</w:t>
      </w:r>
    </w:p>
    <w:p w14:paraId="4FD4309F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5. Wzmocnienie reprezentacji organizacji słabiej słyszanych.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Federacje regionalne powinny aktywnie docierać do organizacji lokalnych, wiejskich, małych i nieprofesjonalizowanych oraz do organizacji pracujących z grupami narażonymi na wykluczenie, w tym kobietami doświadczającymi przemocy, osobami z niepełnosprawnościami, seniorami, dziećmi i młodzieżą, migrantami oraz osobami w kryzysie bezdomności lub ubóstwa.</w:t>
      </w:r>
    </w:p>
    <w:p w14:paraId="1A5A17FC" w14:textId="6EE5EDAD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6. Obowiązek informacji zwrotnej i monitoringu wpływu.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Administracja publiczna powinna informować, w jaki sposób odniosła się do stanowisk federacji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, związków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i organizacji. Federacje powinny natomiast raportować członkom, jakie postulaty zostały zgłoszone, co zostało uwzględnione, a co wymaga dalszego rzecznictwa.</w:t>
      </w:r>
    </w:p>
    <w:p w14:paraId="0D56D852" w14:textId="51B9CD71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Usprawnieniem byłoby wprowadzenie zasady, że finansowanie federacji nie jest traktowane jako zwykły grant projektowy, lecz jako finansowanie infrastruktury udziału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w życiu publicznym. Oznacza to możliwość finansowania pracy stałej: sekretariatu, konsultacji, ekspertyz, spotkań, komunikacji, badań, monitoringu i ewaluacji.</w:t>
      </w:r>
    </w:p>
    <w:p w14:paraId="57B576FD" w14:textId="77777777" w:rsidR="008A347A" w:rsidRPr="00D972C4" w:rsidRDefault="008A347A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3. Diagnoza obszaru, w którym proponowane jest działanie/interwencja strategiczna</w:t>
      </w:r>
    </w:p>
    <w:p w14:paraId="67A2A066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Polski sektor organizacji społeczeństwa obywatelskiego jest liczny i zróżnicowany, ale jednocześnie rozproszony i nierównomiernie rozwinięty terytorialnie. Według GUS w 2022 r. w Polsce działało 103,4 tys. organizacji non-profit, zrzeszających 8,3 mln członków. Organizacje te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tworzyły 153,4 tys. pełnoetatowych miejsc pracy, co stanowiło 1,4% przeciętnego zatrudnienia w gospodarce narodowej. Dane te pokazują znaczący potencjał społeczny i ekonomiczny sektora. Źródło: GUS, „Działalność stowarzyszeń i podobnych organizacji społecznych, fundacji, społecznych podmiotów wyznaniowych oraz samorządu gospodarczego i zawodowego w 2022 r. – wyniki wstępne”, </w:t>
      </w:r>
      <w:hyperlink r:id="rId9" w:history="1">
        <w:r w:rsidRPr="00D972C4">
          <w:rPr>
            <w:rFonts w:ascii="Verdana" w:eastAsia="Times New Roman" w:hAnsi="Verdana" w:cs="Times New Roman"/>
            <w:color w:val="0000FF"/>
            <w:kern w:val="0"/>
            <w:u w:val="single"/>
            <w:lang w:eastAsia="pl-PL"/>
            <w14:ligatures w14:val="none"/>
          </w:rPr>
          <w:t>https://stat.gov.pl/obszary-tematyczne/gospodarka-spoleczna-wolontariat/gospodarka-spoleczna-trzeci-sektor/dzialalnosc-stowarzyszen-i-podobnych-organizacji-spolecznych-fundacji-spolecznych-podmiotow-wyznaniowych-oraz-samorzadu-gospodarczego-i-zawodowego-w-2022-r-wyniki-wstepne,3,10.html</w:t>
        </w:r>
      </w:hyperlink>
    </w:p>
    <w:p w14:paraId="64F056BF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Jednocześnie badania Klon/Jawor pokazują, że formalne zrzeszanie się organizacji w federacjach, sieciach i porozumieniach nie jest w Polsce powszechne. W badaniu „Kondycja organizacji pozarządowych 2021” wskazano, że 31% organizacji należy do porozumień organizacji pozarządowych, takich jak związki, federacje i sieci. Najczęściej są to porozumienia ogólnokrajowe, branżowe i regionalne. Oznacza to, że większość organizacji działa poza formalnymi strukturami reprezentacji. Jednocześnie 84% organizacji zrzeszonych widzi korzyści z udziału w porozumieniach, najczęściej wskazując wymianę doświadczeń i współpracę przy wspólnych projektach. Źródło: Stowarzyszenie Klon/Jawor, „Kondycja organizacji pozarządowych 2021”, </w:t>
      </w:r>
      <w:hyperlink r:id="rId10" w:history="1">
        <w:r w:rsidRPr="00D972C4">
          <w:rPr>
            <w:rFonts w:ascii="Verdana" w:eastAsia="Times New Roman" w:hAnsi="Verdana" w:cs="Times New Roman"/>
            <w:color w:val="0000FF"/>
            <w:kern w:val="0"/>
            <w:u w:val="single"/>
            <w:lang w:eastAsia="pl-PL"/>
            <w14:ligatures w14:val="none"/>
          </w:rPr>
          <w:t>https://api.ngo.pl/media/get/183259</w:t>
        </w:r>
      </w:hyperlink>
    </w:p>
    <w:p w14:paraId="733CDA97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Wniosek z tych danych jest istotny: problemem nie jest brak wartości federacji, lecz niewystarczające warunki do ich rozwoju i trwałego działania. Organizacje, które doświadczają członkostwa w sieciach i federacjach, zwykle widzą jego sens. Jednak większość sektora pozostaje poza takimi strukturami, co ogranicza możliwość wspólnego działania, rzecznictwa i reprezentowania interesów organizacji w procesach publicznych.</w:t>
      </w:r>
    </w:p>
    <w:p w14:paraId="009AC0B4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Raport OECD „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Towards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meaningful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civil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society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participation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international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level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” wzmacnia tę diagnozę. OECD podkreśla, że sensowny udział społeczeństwa obywatelskiego wymaga czegoś więcej niż jednorazowych konsultacji. Potrzebne są trwałe mechanizmy, jasne zasady, ochrona przestrzeni obywatelskiej,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inkluzywny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dobór uczestników, struktury koordynacyjne, finansowanie, informacja zwrotna, monitoring i ewaluacja. OECD wskazuje również, że partycypacja powinna być prowadzona w całym cyklu polityki publicznej: od diagnozy i tworzenia agendy, przez projektowanie rozwiązań, po wdrażanie i ocenę. Źródło: OECD, „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Towards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meaningful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civil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society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participation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international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level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”, 2025, </w:t>
      </w:r>
      <w:hyperlink r:id="rId11" w:history="1">
        <w:r w:rsidRPr="00D972C4">
          <w:rPr>
            <w:rFonts w:ascii="Verdana" w:eastAsia="Times New Roman" w:hAnsi="Verdana" w:cs="Times New Roman"/>
            <w:color w:val="0000FF"/>
            <w:kern w:val="0"/>
            <w:u w:val="single"/>
            <w:lang w:eastAsia="pl-PL"/>
            <w14:ligatures w14:val="none"/>
          </w:rPr>
          <w:t>https://www.oecd.org/content/dam/oecd/en/publications/reports/2025/01/towards-meaningful-civil-society-participation-at-the-international-level_99c618fe/8ed04dc2-en.pdf</w:t>
        </w:r>
      </w:hyperlink>
    </w:p>
    <w:p w14:paraId="4BDF77CE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Szczególnie ważne jest znaczenie poziomu regionalnego. OECD wskazuje, że organizacje reprezentujące interesariuszy, takie jak regionalne lub krajowe platformy i sieci społeczeństwa obywatelskiego, mogą pełnić ważną rolę w ułatwianiu udziału, o ile są postrzegane jako legitymizowane i reprezentatywne. W raporcie podkreślono także potrzebę równowagi geograficznej i tematycznej oraz łączenia narzędzi online i offline, aby ograniczać bariery udziału wynikające z odległości, słabszego dostępu do technologii, niższych zasobów lub marginalizacji społecznej.</w:t>
      </w:r>
    </w:p>
    <w:p w14:paraId="5703FF70" w14:textId="5412858E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W Polsce wyzwania te są szczególnie widoczne. Organizacje z dużych miast mają zwykle łatwiejszy dostęp do instytucji publicznych, ekspertów, mediów, funduszy i ciał dialogu. Organizacje z mniejszych miejscowości, obszarów wiejskich i regionów peryferyjnych częściej działają przy mniejszych zasobach kadrowych i finansowych. Bez silnych federacji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i związków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regionalnych ich wiedza, doświadczenie i postulaty rzadziej przebijają się do poziomu wojewódzkiego i krajowego.</w:t>
      </w:r>
    </w:p>
    <w:p w14:paraId="4F6B5CAE" w14:textId="7973E29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Z perspektywy zrównoważonego rozwoju kraju jest to poważna luka. Rozwój zrównoważony wymaga nie tylko inwestycji infrastrukturalnych i gospodarczych, ale także silnych instytucji społecznych, kapitału społecznego, współpracy i realnego udziału mieszkańców w decyzjach. Federacje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i związki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regionalne mogą przekładać lokalne doświadczenia organizacji na rekomendacje dla polityk publicznych oraz wzmacniać zasadę partnerstwa w funduszach europejskich, strategiach regionalnych, polityce społecznej i usługach publicznych.</w:t>
      </w:r>
    </w:p>
    <w:p w14:paraId="64CF55C0" w14:textId="70ACE15E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Obecny model finansowania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nadal zbyt często wspiera działania projektowe, a za mało funkcje infrastrukturalne: koordynację, rzecznictwo, konsultacje, analizę danych, komunikację z członkami i monitoring polityk publicznych. OECD wskazuje natomiast, że mechanizmy udziału społeczeństwa obywatelskiego powinny mieć finansowanie stabilne, przewidywalne, niezależne i wieloletnie. To ważny argument za tym, aby federacje </w:t>
      </w:r>
      <w:r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i związki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regionalne finansować jako infrastrukturę dialogu i rozwoju, a nie jako kolejnych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grantobiorców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realizujących pojedyncze zadania.</w:t>
      </w:r>
    </w:p>
    <w:p w14:paraId="01199F17" w14:textId="77777777" w:rsidR="008A347A" w:rsidRPr="00D972C4" w:rsidRDefault="008A347A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4. Wnioski płynące z diagnozy</w:t>
      </w:r>
    </w:p>
    <w:p w14:paraId="4EF8DDE4" w14:textId="147B3816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1. Polska potrzebuje silniejszych struktur współpracy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Sektor obywatelski jest liczny i ważny społecznie, ale rozproszony. Dane GUS pokazują jego skalę, a dane Klon/Jawor wskazują, że tylko 31% organizacji należy do porozumień, federacji lub sieci. Ogranicza to zdolność sektora do wspólnego działania, reprezentowania interesów i udziału w politykach publicznych.</w:t>
      </w:r>
    </w:p>
    <w:p w14:paraId="3C6557EF" w14:textId="4011171A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2. Federacje </w:t>
      </w:r>
      <w:r w:rsidR="00DD03AB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i związki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mają potwierdzoną wartość, ale wymagają lepszych warunków działania.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Skoro 84% zrzeszonych organizacji widzi korzyści z członkostwa w porozumieniach, należy uznać, że federacje są użytecznym narzędziem współpracy. Barierą jest nie tyle brak potrzeby, ile niedostateczna stabilność, finansowanie, rozpoznawalność i zdolność federacji do stałej pracy z organizacjami.</w:t>
      </w:r>
    </w:p>
    <w:p w14:paraId="16EB448B" w14:textId="51D1DAA1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3. Federacje </w:t>
      </w:r>
      <w:r w:rsidR="00DD03AB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i związki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regionalne są warunkiem bardziej zrównoważonego udziału </w:t>
      </w:r>
      <w:r w:rsidR="00DD03AB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w rozwoju kraju.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Bez silnych federacji regionalnych głos organizacji z mniejszych miejscowości, obszarów wiejskich i regionów peryferyjnych jest słabiej obecny w procesach publicznych. Federacje mogą równoważyć wpływ organizacji dużych i miejskich oraz przenosić lokalną wiedzę do polityk wojewódzkich, krajowych i europejskich.</w:t>
      </w:r>
    </w:p>
    <w:p w14:paraId="5AB13E5E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4. Sensowna partycypacja wymaga stałych, finansowanych mechanizmów.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 xml:space="preserve">OECD wskazuje, że udział społeczeństwa obywatelskiego powinien być trwały, dobrze zaprojektowany,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inkluzywny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, finansowany i powiązany z informacją zwrotną. Dla Polski oznacza to konieczność finansowania nie tylko projektów, ale także sekretariatów, konsultacji, analiz, komunikacji, rzecznictwa, monitoringu i ewaluacji.</w:t>
      </w:r>
    </w:p>
    <w:p w14:paraId="5CB28CFD" w14:textId="5A554B71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5. Wzmocnienie federacji </w:t>
      </w:r>
      <w:r w:rsidR="00DD03AB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i związków 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powinno iść w parze ze standardami reprezentacji.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br/>
        <w:t>Federacje regionalne powinny działać przejrzyście, konsultować stanowiska z członkami, włączać organizacje niezrzeszone i dbać o różnorodność perspektyw. Ich zadaniem nie jest centralizacja głosu sektora, lecz organizowanie pluralizmu, wzmacnianie mniejszych organizacji i budowanie lepszego zaplecza dla zasady partnerstwa.</w:t>
      </w:r>
    </w:p>
    <w:p w14:paraId="48D7B4E1" w14:textId="77777777" w:rsidR="008A347A" w:rsidRPr="00D972C4" w:rsidRDefault="008A347A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5. Przewidywane efekty działania/interwencji strategicznej oraz wpływ na inne podmioty funkcjonujące w obszarze interwencji</w:t>
      </w:r>
    </w:p>
    <w:p w14:paraId="1642F5F4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Wdrożenie działania powinno przynieść efekty na czterech poziomach: organizacji społecznych, federacji, administracji publicznej oraz mieszkańców i społeczności lokalnych.</w:t>
      </w:r>
    </w:p>
    <w:p w14:paraId="21E25FCB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Efekty dla organizacji społeczeństwa obywatelskiego:</w:t>
      </w:r>
    </w:p>
    <w:p w14:paraId="0481B389" w14:textId="77777777" w:rsidR="008A347A" w:rsidRPr="00D972C4" w:rsidRDefault="008A347A" w:rsidP="008A347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większy dostęp małych i lokalnych organizacji do wiedzy, informacji, konsultacji i partnerstw;</w:t>
      </w:r>
    </w:p>
    <w:p w14:paraId="7ED13880" w14:textId="77777777" w:rsidR="008A347A" w:rsidRPr="00D972C4" w:rsidRDefault="008A347A" w:rsidP="008A347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wzrost zdolności organizacji do wspólnego działania i występowania z uzgodnionymi stanowiskami;</w:t>
      </w:r>
    </w:p>
    <w:p w14:paraId="3B718D5F" w14:textId="77777777" w:rsidR="008A347A" w:rsidRPr="00D972C4" w:rsidRDefault="008A347A" w:rsidP="008A347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lepsze reprezentowanie interesów organizacji spoza dużych miast;</w:t>
      </w:r>
    </w:p>
    <w:p w14:paraId="0E494D8E" w14:textId="77777777" w:rsidR="008A347A" w:rsidRPr="00D972C4" w:rsidRDefault="008A347A" w:rsidP="008A347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większa zdolność organizacji do udziału w konsultacjach, komitetach, radach i procesach strategicznych;</w:t>
      </w:r>
    </w:p>
    <w:p w14:paraId="2D310479" w14:textId="77777777" w:rsidR="008A347A" w:rsidRPr="00D972C4" w:rsidRDefault="008A347A" w:rsidP="008A347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wzmocnienie organizacji działających na rzecz grup narażonych na wykluczenie i dyskryminację;</w:t>
      </w:r>
    </w:p>
    <w:p w14:paraId="4C855F29" w14:textId="77777777" w:rsidR="008A347A" w:rsidRPr="00D972C4" w:rsidRDefault="008A347A" w:rsidP="008A347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większa odporność sektora na kryzysy, zmiany prawa, presję administracyjną i niestabilność finansowania.</w:t>
      </w:r>
    </w:p>
    <w:p w14:paraId="33A0937E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Efekty dla federacji regionalnych, branżowych i krajowych:</w:t>
      </w:r>
    </w:p>
    <w:p w14:paraId="32471C52" w14:textId="77777777" w:rsidR="008A347A" w:rsidRPr="00D972C4" w:rsidRDefault="008A347A" w:rsidP="008A347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stabilniejsze finansowanie podstawowych funkcji federacyjnych;</w:t>
      </w:r>
    </w:p>
    <w:p w14:paraId="6D163D91" w14:textId="77777777" w:rsidR="008A347A" w:rsidRPr="00D972C4" w:rsidRDefault="008A347A" w:rsidP="008A347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rozwój zaplecza: sekretariatu, komunikacji, analiz, konsultacji i monitoringu;</w:t>
      </w:r>
    </w:p>
    <w:p w14:paraId="0944E455" w14:textId="77777777" w:rsidR="008A347A" w:rsidRPr="00D972C4" w:rsidRDefault="008A347A" w:rsidP="008A347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większa reprezentatywność stanowisk przedstawianych administracji;</w:t>
      </w:r>
    </w:p>
    <w:p w14:paraId="32F83FB6" w14:textId="77777777" w:rsidR="008A347A" w:rsidRPr="00D972C4" w:rsidRDefault="008A347A" w:rsidP="008A347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lepszy kontakt z organizacjami członkowskimi i niezrzeszonymi;</w:t>
      </w:r>
    </w:p>
    <w:p w14:paraId="78B0F0BF" w14:textId="77777777" w:rsidR="008A347A" w:rsidRPr="00D972C4" w:rsidRDefault="008A347A" w:rsidP="008A347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większa zdolność do udziału w politykach publicznych opartych na danych;</w:t>
      </w:r>
    </w:p>
    <w:p w14:paraId="3710C21A" w14:textId="77777777" w:rsidR="008A347A" w:rsidRPr="00D972C4" w:rsidRDefault="008A347A" w:rsidP="008A347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rozwój współpracy międzyregionalnej i międzybranżowej.</w:t>
      </w:r>
    </w:p>
    <w:p w14:paraId="18F33CE2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Efekty dla administracji publicznej i samorządów:</w:t>
      </w:r>
    </w:p>
    <w:p w14:paraId="467370FC" w14:textId="77777777" w:rsidR="008A347A" w:rsidRPr="00D972C4" w:rsidRDefault="008A347A" w:rsidP="008A347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łatwiejszy dostęp do uporządkowanej, skonsultowanej i bardziej reprezentatywnej wiedzy sektora;</w:t>
      </w:r>
    </w:p>
    <w:p w14:paraId="55C246F1" w14:textId="77777777" w:rsidR="008A347A" w:rsidRPr="00D972C4" w:rsidRDefault="008A347A" w:rsidP="008A347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lepsza jakość konsultacji publicznych i dialogu obywatelskiego;</w:t>
      </w:r>
    </w:p>
    <w:p w14:paraId="19286BC3" w14:textId="77777777" w:rsidR="008A347A" w:rsidRPr="00D972C4" w:rsidRDefault="008A347A" w:rsidP="008A347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skuteczniejsze diagnozowanie potrzeb społecznych w regionach;</w:t>
      </w:r>
    </w:p>
    <w:p w14:paraId="3EBAD402" w14:textId="77777777" w:rsidR="008A347A" w:rsidRPr="00D972C4" w:rsidRDefault="008A347A" w:rsidP="008A347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mocniejsze wdrażanie zasady partnerstwa w funduszach europejskich i polityce spójności;</w:t>
      </w:r>
    </w:p>
    <w:p w14:paraId="20642519" w14:textId="77777777" w:rsidR="008A347A" w:rsidRPr="00D972C4" w:rsidRDefault="008A347A" w:rsidP="008A347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ograniczenie ryzyka konsultacji pozornych lub opartych na przypadkowym doborze uczestników;</w:t>
      </w:r>
    </w:p>
    <w:p w14:paraId="3CEFF7CA" w14:textId="77777777" w:rsidR="008A347A" w:rsidRPr="00D972C4" w:rsidRDefault="008A347A" w:rsidP="008A347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lepszy monitoring skutków polityk publicznych z perspektywy mieszkańców i organizacji pracujących w terenie.</w:t>
      </w:r>
    </w:p>
    <w:p w14:paraId="5D01D3B4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Efekty dla mieszkańców i społeczności lokalnych:</w:t>
      </w:r>
    </w:p>
    <w:p w14:paraId="2A2379A2" w14:textId="77777777" w:rsidR="008A347A" w:rsidRPr="00D972C4" w:rsidRDefault="008A347A" w:rsidP="008A347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lepsze uwzględnianie lokalnych potrzeb w politykach regionalnych i krajowych;</w:t>
      </w:r>
    </w:p>
    <w:p w14:paraId="2DFDFC24" w14:textId="77777777" w:rsidR="008A347A" w:rsidRPr="00D972C4" w:rsidRDefault="008A347A" w:rsidP="008A347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większy wpływ społeczności lokalnych na decyzje publiczne;</w:t>
      </w:r>
    </w:p>
    <w:p w14:paraId="03BEC514" w14:textId="77777777" w:rsidR="008A347A" w:rsidRPr="00D972C4" w:rsidRDefault="008A347A" w:rsidP="008A347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silniejsza reprezentacja grup, które zwykle mają słabszy dostęp do procesów decyzyjnych;</w:t>
      </w:r>
    </w:p>
    <w:p w14:paraId="489B3521" w14:textId="77777777" w:rsidR="008A347A" w:rsidRPr="00D972C4" w:rsidRDefault="008A347A" w:rsidP="008A347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rozwój usług społecznych i działań obywatelskich lepiej dopasowanych do realnych potrzeb;</w:t>
      </w:r>
    </w:p>
    <w:p w14:paraId="05521AEB" w14:textId="77777777" w:rsidR="008A347A" w:rsidRPr="00D972C4" w:rsidRDefault="008A347A" w:rsidP="008A347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wzrost zaufania do instytucji publicznych i organizacji społecznych;</w:t>
      </w:r>
    </w:p>
    <w:p w14:paraId="39DF5A60" w14:textId="77777777" w:rsidR="008A347A" w:rsidRPr="00D972C4" w:rsidRDefault="008A347A" w:rsidP="008A347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większa spójność społeczna i terytorialna.</w:t>
      </w:r>
    </w:p>
    <w:p w14:paraId="489AE6C5" w14:textId="4D45C056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Wpływ na inne podmioty funkcjonujące w obszarze interwencji powinien być pozytywny. Samorządy województw zyskają partnerów zdolnych do konsultowania dokumentów z szerokim środowiskiem </w:t>
      </w:r>
      <w:r w:rsidR="005F3FE7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. Instytucje zarządzające funduszami europejskimi otrzymają lepsze wsparcie w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lastRenderedPageBreak/>
        <w:t>realizacji zasady partnerstwa. Rady działalności pożytku publicznego i komitety monitorujące będą mogły korzystać z bardziej uporządkowanej reprezentacji organizacji. Uczelnie i instytucje badawcze mogą zostać włączone w diagnozy regionalne i ewaluacje.</w:t>
      </w:r>
    </w:p>
    <w:p w14:paraId="799401DC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Działanie nie powinno ograniczać niezależności pojedynczych organizacji. Przeciwnie, powinno zwiększać ich możliwości wpływu. Federacje nie mają zastępować organizacji lokalnych, lecz wzmacniać ich głos, łączyć doświadczenia, tworzyć zaplecze eksperckie i zapewniać kanały udziału w decyzjach publicznych.</w:t>
      </w:r>
    </w:p>
    <w:p w14:paraId="3E183D26" w14:textId="77777777" w:rsidR="008A347A" w:rsidRPr="00D972C4" w:rsidRDefault="008A347A" w:rsidP="008A34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6. Podmioty odpowiedzialne za wdrożenie działania i źródła jego finansowania</w:t>
      </w:r>
    </w:p>
    <w:p w14:paraId="42EEA7C2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Podmioty odpowiedzialne za wdrożenie działania:</w:t>
      </w:r>
    </w:p>
    <w:p w14:paraId="58A685DB" w14:textId="77777777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Kancelaria Prezesa Rady Ministrów lub minister właściwy do spraw społeczeństwa obywatelskiego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koordynacja strategiczna działania, włączenie go do Strategii Rozwoju Społeczeństwa Obywatelskiego oraz zapewnienie spójności z politykami publicznymi państwa.</w:t>
      </w:r>
    </w:p>
    <w:p w14:paraId="076A0E3C" w14:textId="753B4E08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Narodowy Instytut Wolności – Centrum Rozwoju Społeczeństwa Obywatelskiego</w:t>
      </w:r>
    </w:p>
    <w:p w14:paraId="0AB0C7F3" w14:textId="77777777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Ministerstwo Funduszy i Polityki Regionalnej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powiązanie działania z zasadą partnerstwa, polityką spójności, programami regionalnymi, pomocą techniczną oraz systemem monitorowania funduszy europejskich.</w:t>
      </w:r>
    </w:p>
    <w:p w14:paraId="3AF378F0" w14:textId="244568CE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Samorządy województw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tworzenie regionalnych mechanizmów współpracy z federacjami</w:t>
      </w:r>
      <w:r w:rsidR="00DD03AB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i związkami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, włączanie federacji </w:t>
      </w:r>
      <w:r w:rsidR="00DD03AB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i związków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w strategie rozwoju województw, programy regionalne, polityki społeczne i regionalne ciała dialogu.</w:t>
      </w:r>
    </w:p>
    <w:p w14:paraId="297369DA" w14:textId="77777777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Wojewódzkie i krajowa rada działalności pożytku publicznego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monitorowanie jakości współpracy administracji z federacjami i organizacjami, wspieranie standardów reprezentacji oraz konsultowanie rozwiązań systemowych.</w:t>
      </w:r>
    </w:p>
    <w:p w14:paraId="4BB0A1CB" w14:textId="0B60A32D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Federacje</w:t>
      </w:r>
      <w:r w:rsidR="00DD03AB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, związki</w:t>
      </w: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regionalne, branżowe i krajowe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 – realizacja działań animacyjnych, konsultacyjnych, </w:t>
      </w:r>
      <w:proofErr w:type="spellStart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rzeczniczych</w:t>
      </w:r>
      <w:proofErr w:type="spellEnd"/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,</w:t>
      </w:r>
      <w:r w:rsidR="00DD03AB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informacyjnych i reprezentacyjnych, przy zachowaniu przejrzystych zasad mandatu i konsultacji z członkami.</w:t>
      </w:r>
    </w:p>
    <w:p w14:paraId="523BBB2B" w14:textId="77777777" w:rsidR="008A347A" w:rsidRPr="00D972C4" w:rsidRDefault="008A347A" w:rsidP="008A347A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Uczelnie, instytucje badawcze i eksperckie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wsparcie w zakresie diagnoz, badań, analiz danych, monitoringu i ewaluacji.</w:t>
      </w:r>
    </w:p>
    <w:p w14:paraId="588832F7" w14:textId="77777777" w:rsidR="008A347A" w:rsidRPr="00D972C4" w:rsidRDefault="008A347A" w:rsidP="008A347A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Źródła finansowania:</w:t>
      </w:r>
    </w:p>
    <w:p w14:paraId="7C181F78" w14:textId="77777777" w:rsidR="008A347A" w:rsidRPr="00D972C4" w:rsidRDefault="008A347A" w:rsidP="008A347A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Program Rozwoju Organizacji Obywatelskich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rozwój instytucjonalny, rzecznictwo, odporność i trwałość federacji.</w:t>
      </w:r>
    </w:p>
    <w:p w14:paraId="447C3475" w14:textId="77777777" w:rsidR="008A347A" w:rsidRPr="00D972C4" w:rsidRDefault="008A347A" w:rsidP="008A347A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lastRenderedPageBreak/>
        <w:t>Fundusz Inicjatyw Obywatelskich lub jego następcy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działania animacyjne, obywatelskie, lokalne i partycypacyjne.</w:t>
      </w:r>
    </w:p>
    <w:p w14:paraId="6BF53BB3" w14:textId="41AA9B24" w:rsidR="008A347A" w:rsidRPr="00D972C4" w:rsidRDefault="008A347A" w:rsidP="008A347A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Fundusze Europejskie</w:t>
      </w:r>
      <w:r w:rsidR="005F3FE7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– działania systemowe, rozwój kompetencji, sieciowanie i włączanie </w:t>
      </w:r>
      <w:r w:rsidR="005F3FE7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w polityki publiczne.</w:t>
      </w:r>
    </w:p>
    <w:p w14:paraId="3A004201" w14:textId="64E70768" w:rsidR="008A347A" w:rsidRPr="00D972C4" w:rsidRDefault="008A347A" w:rsidP="008A347A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 xml:space="preserve">Programy regionalne finansowane z </w:t>
      </w:r>
      <w:r w:rsidR="005F3FE7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UE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regionalne mechanizmy współpracy, konsultacji, partnerstw i wzmacniania organizacji lokalnych.</w:t>
      </w:r>
    </w:p>
    <w:p w14:paraId="7CA8AE24" w14:textId="6D4CA234" w:rsidR="008A347A" w:rsidRPr="00D972C4" w:rsidRDefault="008A347A" w:rsidP="008A347A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Budżety samorządów województw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 – regionalne programy współpracy z </w:t>
      </w:r>
      <w:r w:rsidR="00DD03AB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NGO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, dotacje wieloletnie, wsparcie instytucjonalne i infrastrukturalne.</w:t>
      </w:r>
    </w:p>
    <w:p w14:paraId="6E2D97C2" w14:textId="77777777" w:rsidR="008A347A" w:rsidRPr="00D972C4" w:rsidRDefault="008A347A" w:rsidP="008A347A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b/>
          <w:bCs/>
          <w:color w:val="000000"/>
          <w:kern w:val="0"/>
          <w:lang w:eastAsia="pl-PL"/>
          <w14:ligatures w14:val="none"/>
        </w:rPr>
        <w:t>Środki krajowe przeznaczone na realizację Strategii Rozwoju Społeczeństwa Obywatelskiego</w:t>
      </w: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 – działania strategiczne, monitoring i ewaluacja.</w:t>
      </w:r>
    </w:p>
    <w:p w14:paraId="66CFE387" w14:textId="2FF79CB4" w:rsidR="00412812" w:rsidRPr="00DD03AB" w:rsidRDefault="008A347A" w:rsidP="00DD03AB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</w:pPr>
      <w:r w:rsidRPr="00D972C4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>Model finansowania powinien być wieloletni i obejmować koszty podstawowe, a nie tylko pojedyncze projekty. Zgodnie z rekomendacjami OECD, skuteczne mechanizmy udziału społeczeństwa obywatelskiego wymagają stabilnego, przewidywalnego i zinstytucjonalizowanego finansowania. Powinno ono obejmować co najmniej: personel sekretariatu, organizację spotkań, konsultacje, narzędzia cyfrowe, działania offline, komunikację, dostępność, budowanie kompetencji, badania, rzecznictwo, monitoring i ewaluację.</w:t>
      </w:r>
    </w:p>
    <w:sectPr w:rsidR="00412812" w:rsidRPr="00DD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14F"/>
    <w:multiLevelType w:val="multilevel"/>
    <w:tmpl w:val="740E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3424E"/>
    <w:multiLevelType w:val="multilevel"/>
    <w:tmpl w:val="FD0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11F4A"/>
    <w:multiLevelType w:val="multilevel"/>
    <w:tmpl w:val="0C5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86BB3"/>
    <w:multiLevelType w:val="multilevel"/>
    <w:tmpl w:val="1AD6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3126E"/>
    <w:multiLevelType w:val="multilevel"/>
    <w:tmpl w:val="7124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81A38"/>
    <w:multiLevelType w:val="multilevel"/>
    <w:tmpl w:val="26FA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D0F02"/>
    <w:multiLevelType w:val="multilevel"/>
    <w:tmpl w:val="C380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155619">
    <w:abstractNumId w:val="6"/>
  </w:num>
  <w:num w:numId="2" w16cid:durableId="604464346">
    <w:abstractNumId w:val="5"/>
  </w:num>
  <w:num w:numId="3" w16cid:durableId="1122306796">
    <w:abstractNumId w:val="4"/>
  </w:num>
  <w:num w:numId="4" w16cid:durableId="1531411145">
    <w:abstractNumId w:val="2"/>
  </w:num>
  <w:num w:numId="5" w16cid:durableId="550267967">
    <w:abstractNumId w:val="3"/>
  </w:num>
  <w:num w:numId="6" w16cid:durableId="1290433079">
    <w:abstractNumId w:val="0"/>
  </w:num>
  <w:num w:numId="7" w16cid:durableId="3207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412812"/>
    <w:rsid w:val="005F3FE7"/>
    <w:rsid w:val="007018FD"/>
    <w:rsid w:val="00722FB4"/>
    <w:rsid w:val="008A347A"/>
    <w:rsid w:val="00CF2DD6"/>
    <w:rsid w:val="00D36A51"/>
    <w:rsid w:val="00DD03AB"/>
    <w:rsid w:val="00E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71C2D"/>
  <w15:chartTrackingRefBased/>
  <w15:docId w15:val="{BBBCE91E-B113-6040-A9EF-64D3BB1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7A"/>
  </w:style>
  <w:style w:type="paragraph" w:styleId="Nagwek1">
    <w:name w:val="heading 1"/>
    <w:basedOn w:val="Normalny"/>
    <w:next w:val="Normalny"/>
    <w:link w:val="Nagwek1Znak"/>
    <w:uiPriority w:val="9"/>
    <w:qFormat/>
    <w:rsid w:val="008A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4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4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4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4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4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4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4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4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4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4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4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2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obszary-tematyczne/gospodarka-spoleczna-wolontariat/gospodarka-spoleczna-trzeci-sektor/sektor-non-profit-w-2022-roku,1,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i.ngo.pl/media/get/1832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content/dam/oecd/en/publications/reports/2025/01/towards-meaningful-civil-society-participation-at-the-international-level_99c618fe/8ed04dc2-en.pdf" TargetMode="External"/><Relationship Id="rId11" Type="http://schemas.openxmlformats.org/officeDocument/2006/relationships/hyperlink" Target="https://www.oecd.org/content/dam/oecd/en/publications/reports/2025/01/towards-meaningful-civil-society-participation-at-the-international-level_99c618fe/8ed04dc2-en.pdf" TargetMode="External"/><Relationship Id="rId5" Type="http://schemas.openxmlformats.org/officeDocument/2006/relationships/hyperlink" Target="https://strategia2026.kprm.gov.pl/?lang=pl" TargetMode="External"/><Relationship Id="rId10" Type="http://schemas.openxmlformats.org/officeDocument/2006/relationships/hyperlink" Target="https://api.ngo.pl/media/get/183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.gov.pl/obszary-tematyczne/gospodarka-spoleczna-wolontariat/gospodarka-spoleczna-trzeci-sektor/dzialalnosc-stowarzyszen-i-podobnych-organizacji-spolecznych-fundacji-spolecznych-podmiotow-wyznaniowych-oraz-samorzadu-gospodarczego-i-zawodowego-w-2022-r-wyniki-wstepne,3,1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2483</Words>
  <Characters>17561</Characters>
  <Application>Microsoft Office Word</Application>
  <DocSecurity>0</DocSecurity>
  <Lines>302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Justyna Och</cp:lastModifiedBy>
  <cp:revision>3</cp:revision>
  <dcterms:created xsi:type="dcterms:W3CDTF">2026-06-15T15:16:00Z</dcterms:created>
  <dcterms:modified xsi:type="dcterms:W3CDTF">2026-06-15T17:03:00Z</dcterms:modified>
</cp:coreProperties>
</file>